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BF11" w14:textId="78EF362F" w:rsidR="00175F76" w:rsidRPr="001D529D" w:rsidRDefault="001D529D" w:rsidP="005D6F38">
      <w:pPr>
        <w:pStyle w:val="Ttulo1"/>
        <w:shd w:val="clear" w:color="auto" w:fill="FDFAF1"/>
        <w:spacing w:before="0" w:beforeAutospacing="0" w:after="225" w:afterAutospacing="0"/>
        <w:jc w:val="center"/>
        <w:rPr>
          <w:rFonts w:ascii="gobCL" w:hAnsi="gobCL"/>
          <w:color w:val="0D3758"/>
          <w:sz w:val="24"/>
          <w:szCs w:val="24"/>
        </w:rPr>
      </w:pPr>
      <w:r>
        <w:rPr>
          <w:rFonts w:ascii="gobCL" w:hAnsi="gobCL"/>
          <w:color w:val="006D98"/>
          <w:sz w:val="28"/>
          <w:szCs w:val="28"/>
        </w:rPr>
        <w:t>Pacto Fiscal: Hacienda entregará en un par de semanas informes de expertos y texto consolidado del trabajo con partidos y Pyme</w:t>
      </w:r>
    </w:p>
    <w:p w14:paraId="554C3463" w14:textId="32E7B23A" w:rsidR="001D529D" w:rsidRPr="001D529D" w:rsidRDefault="001D529D" w:rsidP="001D529D">
      <w:pPr>
        <w:numPr>
          <w:ilvl w:val="0"/>
          <w:numId w:val="8"/>
        </w:numPr>
        <w:shd w:val="clear" w:color="auto" w:fill="FDFAF1"/>
        <w:spacing w:before="100" w:beforeAutospacing="1" w:after="60"/>
        <w:jc w:val="both"/>
        <w:rPr>
          <w:rFonts w:ascii="DM Sans" w:eastAsia="Times New Roman" w:hAnsi="DM Sans" w:cs="Times New Roman"/>
          <w:color w:val="0D3758"/>
          <w:lang w:eastAsia="es-CL"/>
        </w:rPr>
      </w:pPr>
      <w:r w:rsidRPr="001D529D">
        <w:rPr>
          <w:rFonts w:ascii="gobCL" w:eastAsia="Times New Roman" w:hAnsi="gobCL" w:cs="Times New Roman"/>
          <w:i/>
          <w:iCs/>
          <w:color w:val="000000" w:themeColor="text1"/>
          <w:sz w:val="20"/>
          <w:szCs w:val="20"/>
          <w:lang w:eastAsia="es-CL"/>
        </w:rPr>
        <w:t xml:space="preserve">En la mañana de ayer, los ministros de Energía y Economía, Diego </w:t>
      </w:r>
      <w:proofErr w:type="spellStart"/>
      <w:r w:rsidRPr="001D529D">
        <w:rPr>
          <w:rFonts w:ascii="gobCL" w:eastAsia="Times New Roman" w:hAnsi="gobCL" w:cs="Times New Roman"/>
          <w:i/>
          <w:iCs/>
          <w:color w:val="000000" w:themeColor="text1"/>
          <w:sz w:val="20"/>
          <w:szCs w:val="20"/>
          <w:lang w:eastAsia="es-CL"/>
        </w:rPr>
        <w:t>Pardow</w:t>
      </w:r>
      <w:proofErr w:type="spellEnd"/>
      <w:r w:rsidRPr="001D529D">
        <w:rPr>
          <w:rFonts w:ascii="gobCL" w:eastAsia="Times New Roman" w:hAnsi="gobCL" w:cs="Times New Roman"/>
          <w:i/>
          <w:iCs/>
          <w:color w:val="000000" w:themeColor="text1"/>
          <w:sz w:val="20"/>
          <w:szCs w:val="20"/>
          <w:lang w:eastAsia="es-CL"/>
        </w:rPr>
        <w:t xml:space="preserve"> y Nicolás Grau respectivamente, detallaron a representantes de los partidos políticos las estrategias de desarrollo de hidrógeno verde (H2V) y litio. Durante la tarde la subsecretaria les expuso una síntesis del trabajo respecto de las medidas propuestas para fortalecer el cumplimiento de las obligaciones tributarias y los mecanismos para el seguimiento, monitoreo y evaluación del Pacto Fiscal.</w:t>
      </w:r>
    </w:p>
    <w:p w14:paraId="0DC83B4D" w14:textId="77777777" w:rsidR="004A3D10" w:rsidRPr="001D529D" w:rsidRDefault="004A3D10" w:rsidP="001D529D">
      <w:pPr>
        <w:jc w:val="both"/>
        <w:rPr>
          <w:rFonts w:ascii="gobCL" w:hAnsi="gobCL"/>
          <w:i/>
          <w:iCs/>
          <w:color w:val="262626" w:themeColor="text1" w:themeTint="D9"/>
          <w:sz w:val="20"/>
          <w:szCs w:val="20"/>
        </w:rPr>
      </w:pPr>
    </w:p>
    <w:p w14:paraId="4CBC7A5E" w14:textId="77777777" w:rsidR="001D529D" w:rsidRPr="001D529D" w:rsidRDefault="001D529D" w:rsidP="001D529D">
      <w:pPr>
        <w:pStyle w:val="NormalWeb"/>
        <w:spacing w:before="0" w:beforeAutospacing="0"/>
        <w:jc w:val="both"/>
        <w:rPr>
          <w:rFonts w:ascii="gobCL" w:hAnsi="gobCL"/>
          <w:color w:val="000000" w:themeColor="text1"/>
          <w:sz w:val="20"/>
          <w:szCs w:val="20"/>
        </w:rPr>
      </w:pPr>
      <w:r>
        <w:rPr>
          <w:rFonts w:ascii="gobCL" w:hAnsi="gobCL"/>
          <w:b/>
          <w:bCs/>
          <w:color w:val="262626" w:themeColor="text1" w:themeTint="D9"/>
          <w:sz w:val="20"/>
          <w:szCs w:val="20"/>
        </w:rPr>
        <w:t>Santiago</w:t>
      </w:r>
      <w:r w:rsidR="00460413" w:rsidRPr="00460413">
        <w:rPr>
          <w:rFonts w:ascii="gobCL" w:hAnsi="gobCL"/>
          <w:b/>
          <w:bCs/>
          <w:color w:val="262626" w:themeColor="text1" w:themeTint="D9"/>
          <w:sz w:val="20"/>
          <w:szCs w:val="20"/>
        </w:rPr>
        <w:t xml:space="preserve">, </w:t>
      </w:r>
      <w:r>
        <w:rPr>
          <w:rFonts w:ascii="gobCL" w:hAnsi="gobCL"/>
          <w:b/>
          <w:bCs/>
          <w:color w:val="262626" w:themeColor="text1" w:themeTint="D9"/>
          <w:sz w:val="20"/>
          <w:szCs w:val="20"/>
        </w:rPr>
        <w:t>6</w:t>
      </w:r>
      <w:r w:rsidR="00460413" w:rsidRPr="00460413">
        <w:rPr>
          <w:rFonts w:ascii="gobCL" w:hAnsi="gobCL"/>
          <w:b/>
          <w:bCs/>
          <w:color w:val="262626" w:themeColor="text1" w:themeTint="D9"/>
          <w:sz w:val="20"/>
          <w:szCs w:val="20"/>
        </w:rPr>
        <w:t xml:space="preserve"> de </w:t>
      </w:r>
      <w:r>
        <w:rPr>
          <w:rFonts w:ascii="gobCL" w:hAnsi="gobCL"/>
          <w:b/>
          <w:bCs/>
          <w:color w:val="262626" w:themeColor="text1" w:themeTint="D9"/>
          <w:sz w:val="20"/>
          <w:szCs w:val="20"/>
        </w:rPr>
        <w:t>octubre</w:t>
      </w:r>
      <w:r w:rsidR="004E5897">
        <w:rPr>
          <w:rFonts w:ascii="gobCL" w:hAnsi="gobCL"/>
          <w:b/>
          <w:bCs/>
          <w:color w:val="262626" w:themeColor="text1" w:themeTint="D9"/>
          <w:sz w:val="20"/>
          <w:szCs w:val="20"/>
        </w:rPr>
        <w:t xml:space="preserve"> de </w:t>
      </w:r>
      <w:r w:rsidR="00FD4545" w:rsidRPr="009D07B5">
        <w:rPr>
          <w:rFonts w:ascii="gobCL" w:hAnsi="gobCL"/>
          <w:b/>
          <w:bCs/>
          <w:color w:val="262626" w:themeColor="text1" w:themeTint="D9"/>
          <w:sz w:val="20"/>
          <w:szCs w:val="20"/>
        </w:rPr>
        <w:t>2023</w:t>
      </w:r>
      <w:r w:rsidR="00FD4545" w:rsidRPr="000D32A8">
        <w:rPr>
          <w:rFonts w:ascii="gobCL" w:hAnsi="gobCL"/>
          <w:color w:val="262626" w:themeColor="text1" w:themeTint="D9"/>
          <w:sz w:val="20"/>
          <w:szCs w:val="20"/>
        </w:rPr>
        <w:t xml:space="preserve">.- </w:t>
      </w:r>
      <w:r w:rsidRPr="001D529D">
        <w:rPr>
          <w:rFonts w:ascii="gobCL" w:hAnsi="gobCL"/>
          <w:color w:val="000000" w:themeColor="text1"/>
          <w:sz w:val="20"/>
          <w:szCs w:val="20"/>
        </w:rPr>
        <w:t xml:space="preserve">Una nueva jornada doble con representantes de los partidos políticos por Pacto Fiscal sostuvo ayer el Ministerio de Hacienda, lideradas por la subsecretaria Heidi </w:t>
      </w:r>
      <w:proofErr w:type="spellStart"/>
      <w:r w:rsidRPr="001D529D">
        <w:rPr>
          <w:rFonts w:ascii="gobCL" w:hAnsi="gobCL"/>
          <w:color w:val="000000" w:themeColor="text1"/>
          <w:sz w:val="20"/>
          <w:szCs w:val="20"/>
        </w:rPr>
        <w:t>Berner</w:t>
      </w:r>
      <w:proofErr w:type="spellEnd"/>
      <w:r w:rsidRPr="001D529D">
        <w:rPr>
          <w:rFonts w:ascii="gobCL" w:hAnsi="gobCL"/>
          <w:color w:val="000000" w:themeColor="text1"/>
          <w:sz w:val="20"/>
          <w:szCs w:val="20"/>
        </w:rPr>
        <w:t>, quien estuvo acompañada por los coordinadores tributarios Diego Riquelme y Nicolás Bohme.</w:t>
      </w:r>
    </w:p>
    <w:p w14:paraId="75AF570A" w14:textId="77777777" w:rsidR="001D529D" w:rsidRPr="001D529D" w:rsidRDefault="001D529D" w:rsidP="001D529D">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 xml:space="preserve">Durante la mañana, de acuerdo con lo solicitado el jueves de la semana pasada por algunos participantes, concurrieron los ministros de Energía y Economía, Diego </w:t>
      </w:r>
      <w:proofErr w:type="spellStart"/>
      <w:r w:rsidRPr="001D529D">
        <w:rPr>
          <w:rFonts w:ascii="gobCL" w:hAnsi="gobCL"/>
          <w:color w:val="000000" w:themeColor="text1"/>
          <w:sz w:val="20"/>
          <w:szCs w:val="20"/>
        </w:rPr>
        <w:t>Pardow</w:t>
      </w:r>
      <w:proofErr w:type="spellEnd"/>
      <w:r w:rsidRPr="001D529D">
        <w:rPr>
          <w:rFonts w:ascii="gobCL" w:hAnsi="gobCL"/>
          <w:color w:val="000000" w:themeColor="text1"/>
          <w:sz w:val="20"/>
          <w:szCs w:val="20"/>
        </w:rPr>
        <w:t xml:space="preserve"> y Nicolás Grau respectivamente, a exponer las estrategias de desarrollo de hidrógeno verde (H2V) y litio.</w:t>
      </w:r>
    </w:p>
    <w:p w14:paraId="62AB143D" w14:textId="77777777" w:rsidR="001D529D" w:rsidRPr="001D529D" w:rsidRDefault="001D529D" w:rsidP="001D529D">
      <w:pPr>
        <w:pStyle w:val="NormalWeb"/>
        <w:spacing w:before="0" w:beforeAutospacing="0"/>
        <w:jc w:val="both"/>
        <w:rPr>
          <w:rFonts w:ascii="gobCL" w:hAnsi="gobCL"/>
          <w:color w:val="000000" w:themeColor="text1"/>
          <w:sz w:val="20"/>
          <w:szCs w:val="20"/>
        </w:rPr>
      </w:pPr>
      <w:proofErr w:type="spellStart"/>
      <w:r w:rsidRPr="001D529D">
        <w:rPr>
          <w:rFonts w:ascii="gobCL" w:hAnsi="gobCL"/>
          <w:color w:val="000000" w:themeColor="text1"/>
          <w:sz w:val="20"/>
          <w:szCs w:val="20"/>
        </w:rPr>
        <w:t>Pardow</w:t>
      </w:r>
      <w:proofErr w:type="spellEnd"/>
      <w:r w:rsidRPr="001D529D">
        <w:rPr>
          <w:rFonts w:ascii="gobCL" w:hAnsi="gobCL"/>
          <w:color w:val="000000" w:themeColor="text1"/>
          <w:sz w:val="20"/>
          <w:szCs w:val="20"/>
        </w:rPr>
        <w:t xml:space="preserve"> detalló las opciones que está tomando Chile en materia de H2V con tal de fomentar por distintas vías la cooperación para expandir esta industria, con dos claros polos de desarrollo en las regiones de Magallanes y Atacama: apalancar la colaboración internacional para atraer inversiones, potenciar la innovación y generar y capacitar a personas con los conocimientos específicos requeridos por la industria. Por ello enfatizó que el país debe continuar con la política de diversificación de inversionistas, a fin de evitar la vulnerabilidad que implica una concentración de actores. Además, enfatizó que los principales desafíos son mantener las reglas claras para los tomadores de decisiones, promover una certificación con estándares de sustentabilidad y agilizar el sistema de permisos.</w:t>
      </w:r>
    </w:p>
    <w:p w14:paraId="583460DE" w14:textId="77777777" w:rsidR="001D529D" w:rsidRPr="001D529D" w:rsidRDefault="001D529D" w:rsidP="001D529D">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 xml:space="preserve">El ministro Grau, en tanto, planteó que las oportunidades de negocio respecto del litio están en primer lugar en la explotación, donde son relevantes la negociación entre Codelco y SQM en el salar de Atacama; los nuevos proyectos bajo el liderazgo de Codelco o </w:t>
      </w:r>
      <w:proofErr w:type="spellStart"/>
      <w:r w:rsidRPr="001D529D">
        <w:rPr>
          <w:rFonts w:ascii="gobCL" w:hAnsi="gobCL"/>
          <w:color w:val="000000" w:themeColor="text1"/>
          <w:sz w:val="20"/>
          <w:szCs w:val="20"/>
        </w:rPr>
        <w:t>Enami</w:t>
      </w:r>
      <w:proofErr w:type="spellEnd"/>
      <w:r w:rsidRPr="001D529D">
        <w:rPr>
          <w:rFonts w:ascii="gobCL" w:hAnsi="gobCL"/>
          <w:color w:val="000000" w:themeColor="text1"/>
          <w:sz w:val="20"/>
          <w:szCs w:val="20"/>
        </w:rPr>
        <w:t xml:space="preserve"> en sociedades con privados, como está ocurriendo en el salar de Maricunga; y un tercer tipo de proyectos en salares de menor cuantía donde el control lo tendrán privados. Enfatizó </w:t>
      </w:r>
      <w:proofErr w:type="gramStart"/>
      <w:r w:rsidRPr="001D529D">
        <w:rPr>
          <w:rFonts w:ascii="gobCL" w:hAnsi="gobCL"/>
          <w:color w:val="000000" w:themeColor="text1"/>
          <w:sz w:val="20"/>
          <w:szCs w:val="20"/>
        </w:rPr>
        <w:t>que</w:t>
      </w:r>
      <w:proofErr w:type="gramEnd"/>
      <w:r w:rsidRPr="001D529D">
        <w:rPr>
          <w:rFonts w:ascii="gobCL" w:hAnsi="gobCL"/>
          <w:color w:val="000000" w:themeColor="text1"/>
          <w:sz w:val="20"/>
          <w:szCs w:val="20"/>
        </w:rPr>
        <w:t xml:space="preserve"> para avanzar en este sentido, el primer paso —que es inminente— es que el Comité de Ministros que encabeza la titular de Minería, Aurora </w:t>
      </w:r>
      <w:proofErr w:type="spellStart"/>
      <w:r w:rsidRPr="001D529D">
        <w:rPr>
          <w:rFonts w:ascii="gobCL" w:hAnsi="gobCL"/>
          <w:color w:val="000000" w:themeColor="text1"/>
          <w:sz w:val="20"/>
          <w:szCs w:val="20"/>
        </w:rPr>
        <w:t>Willliams</w:t>
      </w:r>
      <w:proofErr w:type="spellEnd"/>
      <w:r w:rsidRPr="001D529D">
        <w:rPr>
          <w:rFonts w:ascii="gobCL" w:hAnsi="gobCL"/>
          <w:color w:val="000000" w:themeColor="text1"/>
          <w:sz w:val="20"/>
          <w:szCs w:val="20"/>
        </w:rPr>
        <w:t xml:space="preserve">, defina los salares que se van a proteger y cuáles se destinarán a producción. Agregó </w:t>
      </w:r>
      <w:proofErr w:type="gramStart"/>
      <w:r w:rsidRPr="001D529D">
        <w:rPr>
          <w:rFonts w:ascii="gobCL" w:hAnsi="gobCL"/>
          <w:color w:val="000000" w:themeColor="text1"/>
          <w:sz w:val="20"/>
          <w:szCs w:val="20"/>
        </w:rPr>
        <w:t xml:space="preserve">que </w:t>
      </w:r>
      <w:r w:rsidRPr="001D529D">
        <w:rPr>
          <w:rFonts w:ascii="Calibri" w:hAnsi="Calibri" w:cs="Calibri"/>
          <w:color w:val="000000" w:themeColor="text1"/>
          <w:sz w:val="20"/>
          <w:szCs w:val="20"/>
        </w:rPr>
        <w:t> </w:t>
      </w:r>
      <w:r w:rsidRPr="001D529D">
        <w:rPr>
          <w:rFonts w:ascii="gobCL" w:hAnsi="gobCL" w:cs="gobCL"/>
          <w:color w:val="000000" w:themeColor="text1"/>
          <w:sz w:val="20"/>
          <w:szCs w:val="20"/>
        </w:rPr>
        <w:t>“</w:t>
      </w:r>
      <w:proofErr w:type="gramEnd"/>
      <w:r w:rsidRPr="001D529D">
        <w:rPr>
          <w:rFonts w:ascii="gobCL" w:hAnsi="gobCL"/>
          <w:color w:val="000000" w:themeColor="text1"/>
          <w:sz w:val="20"/>
          <w:szCs w:val="20"/>
        </w:rPr>
        <w:t>nuestro objetivo cuantitativo, y que está expresado en el Pacto Fiscal, es lograr entre tres y cinco proyectos al final de esta administración. Lo que estamos haciendo hoy como gobierno busca tener un aumento importante de los proyectos que estén explorando litio y también de la producción hacia fines de esta década”.</w:t>
      </w:r>
    </w:p>
    <w:p w14:paraId="6C751663" w14:textId="77777777" w:rsidR="001D529D" w:rsidRPr="001D529D" w:rsidRDefault="001D529D" w:rsidP="001D529D">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Adicionalmente se refirió a los proyectos aguas abajo, que usen el litio como insumo para un producto con mayor valor agregado.</w:t>
      </w:r>
    </w:p>
    <w:p w14:paraId="62E8C9D3" w14:textId="77777777" w:rsidR="001D529D" w:rsidRPr="001D529D" w:rsidRDefault="001D529D" w:rsidP="001D529D">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 xml:space="preserve">Durante la tarde la subsecretaria expuso una síntesis del trabajo—considerando acuerdos, espacios de mejoras y disensos— respecto de las medidas propuestas para fortalecer el cumplimiento de las obligaciones tributarias. </w:t>
      </w:r>
      <w:r w:rsidRPr="001D529D">
        <w:rPr>
          <w:rFonts w:ascii="Calibri" w:hAnsi="Calibri" w:cs="Calibri"/>
          <w:color w:val="000000" w:themeColor="text1"/>
          <w:sz w:val="20"/>
          <w:szCs w:val="20"/>
        </w:rPr>
        <w:t> </w:t>
      </w:r>
      <w:r w:rsidRPr="001D529D">
        <w:rPr>
          <w:rFonts w:ascii="gobCL" w:hAnsi="gobCL"/>
          <w:color w:val="000000" w:themeColor="text1"/>
          <w:sz w:val="20"/>
          <w:szCs w:val="20"/>
        </w:rPr>
        <w:t>Tambi</w:t>
      </w:r>
      <w:r w:rsidRPr="001D529D">
        <w:rPr>
          <w:rFonts w:ascii="gobCL" w:hAnsi="gobCL" w:cs="gobCL"/>
          <w:color w:val="000000" w:themeColor="text1"/>
          <w:sz w:val="20"/>
          <w:szCs w:val="20"/>
        </w:rPr>
        <w:t>é</w:t>
      </w:r>
      <w:r w:rsidRPr="001D529D">
        <w:rPr>
          <w:rFonts w:ascii="gobCL" w:hAnsi="gobCL"/>
          <w:color w:val="000000" w:themeColor="text1"/>
          <w:sz w:val="20"/>
          <w:szCs w:val="20"/>
        </w:rPr>
        <w:t>n detall</w:t>
      </w:r>
      <w:r w:rsidRPr="001D529D">
        <w:rPr>
          <w:rFonts w:ascii="gobCL" w:hAnsi="gobCL" w:cs="gobCL"/>
          <w:color w:val="000000" w:themeColor="text1"/>
          <w:sz w:val="20"/>
          <w:szCs w:val="20"/>
        </w:rPr>
        <w:t>ó</w:t>
      </w:r>
      <w:r w:rsidRPr="001D529D">
        <w:rPr>
          <w:rFonts w:ascii="gobCL" w:hAnsi="gobCL"/>
          <w:color w:val="000000" w:themeColor="text1"/>
          <w:sz w:val="20"/>
          <w:szCs w:val="20"/>
        </w:rPr>
        <w:t xml:space="preserve"> los mecanismos para el seguimiento, monitoreo y evaluaci</w:t>
      </w:r>
      <w:r w:rsidRPr="001D529D">
        <w:rPr>
          <w:rFonts w:ascii="gobCL" w:hAnsi="gobCL" w:cs="gobCL"/>
          <w:color w:val="000000" w:themeColor="text1"/>
          <w:sz w:val="20"/>
          <w:szCs w:val="20"/>
        </w:rPr>
        <w:t>ó</w:t>
      </w:r>
      <w:r w:rsidRPr="001D529D">
        <w:rPr>
          <w:rFonts w:ascii="gobCL" w:hAnsi="gobCL"/>
          <w:color w:val="000000" w:themeColor="text1"/>
          <w:sz w:val="20"/>
          <w:szCs w:val="20"/>
        </w:rPr>
        <w:t xml:space="preserve">n del Pacto fiscal, que incluye el establecer una comisión de seguimiento que resguarde el cumplimiento de los compromisos adquiridos en el marco del Pacto Fiscal. </w:t>
      </w:r>
      <w:r w:rsidRPr="001D529D">
        <w:rPr>
          <w:rFonts w:ascii="Calibri" w:hAnsi="Calibri" w:cs="Calibri"/>
          <w:color w:val="000000" w:themeColor="text1"/>
          <w:sz w:val="20"/>
          <w:szCs w:val="20"/>
        </w:rPr>
        <w:t> </w:t>
      </w:r>
      <w:r w:rsidRPr="001D529D">
        <w:rPr>
          <w:rFonts w:ascii="gobCL" w:hAnsi="gobCL"/>
          <w:color w:val="000000" w:themeColor="text1"/>
          <w:sz w:val="20"/>
          <w:szCs w:val="20"/>
        </w:rPr>
        <w:t xml:space="preserve">Se plantea </w:t>
      </w:r>
      <w:proofErr w:type="gramStart"/>
      <w:r w:rsidRPr="001D529D">
        <w:rPr>
          <w:rFonts w:ascii="gobCL" w:hAnsi="gobCL"/>
          <w:color w:val="000000" w:themeColor="text1"/>
          <w:sz w:val="20"/>
          <w:szCs w:val="20"/>
        </w:rPr>
        <w:t>que</w:t>
      </w:r>
      <w:proofErr w:type="gramEnd"/>
      <w:r w:rsidRPr="001D529D">
        <w:rPr>
          <w:rFonts w:ascii="gobCL" w:hAnsi="gobCL"/>
          <w:color w:val="000000" w:themeColor="text1"/>
          <w:sz w:val="20"/>
          <w:szCs w:val="20"/>
        </w:rPr>
        <w:t xml:space="preserve"> al cabo de tres a</w:t>
      </w:r>
      <w:r w:rsidRPr="001D529D">
        <w:rPr>
          <w:rFonts w:ascii="gobCL" w:hAnsi="gobCL" w:cs="gobCL"/>
          <w:color w:val="000000" w:themeColor="text1"/>
          <w:sz w:val="20"/>
          <w:szCs w:val="20"/>
        </w:rPr>
        <w:t>ñ</w:t>
      </w:r>
      <w:r w:rsidRPr="001D529D">
        <w:rPr>
          <w:rFonts w:ascii="gobCL" w:hAnsi="gobCL"/>
          <w:color w:val="000000" w:themeColor="text1"/>
          <w:sz w:val="20"/>
          <w:szCs w:val="20"/>
        </w:rPr>
        <w:t>os, la Comisi</w:t>
      </w:r>
      <w:r w:rsidRPr="001D529D">
        <w:rPr>
          <w:rFonts w:ascii="gobCL" w:hAnsi="gobCL" w:cs="gobCL"/>
          <w:color w:val="000000" w:themeColor="text1"/>
          <w:sz w:val="20"/>
          <w:szCs w:val="20"/>
        </w:rPr>
        <w:t>ó</w:t>
      </w:r>
      <w:r w:rsidRPr="001D529D">
        <w:rPr>
          <w:rFonts w:ascii="gobCL" w:hAnsi="gobCL"/>
          <w:color w:val="000000" w:themeColor="text1"/>
          <w:sz w:val="20"/>
          <w:szCs w:val="20"/>
        </w:rPr>
        <w:t>n Nacional para la Evaluaci</w:t>
      </w:r>
      <w:r w:rsidRPr="001D529D">
        <w:rPr>
          <w:rFonts w:ascii="gobCL" w:hAnsi="gobCL" w:cs="gobCL"/>
          <w:color w:val="000000" w:themeColor="text1"/>
          <w:sz w:val="20"/>
          <w:szCs w:val="20"/>
        </w:rPr>
        <w:t>ó</w:t>
      </w:r>
      <w:r w:rsidRPr="001D529D">
        <w:rPr>
          <w:rFonts w:ascii="gobCL" w:hAnsi="gobCL"/>
          <w:color w:val="000000" w:themeColor="text1"/>
          <w:sz w:val="20"/>
          <w:szCs w:val="20"/>
        </w:rPr>
        <w:t>n y la Productividad efect</w:t>
      </w:r>
      <w:r w:rsidRPr="001D529D">
        <w:rPr>
          <w:rFonts w:ascii="gobCL" w:hAnsi="gobCL" w:cs="gobCL"/>
          <w:color w:val="000000" w:themeColor="text1"/>
          <w:sz w:val="20"/>
          <w:szCs w:val="20"/>
        </w:rPr>
        <w:t>ú</w:t>
      </w:r>
      <w:r w:rsidRPr="001D529D">
        <w:rPr>
          <w:rFonts w:ascii="gobCL" w:hAnsi="gobCL"/>
          <w:color w:val="000000" w:themeColor="text1"/>
          <w:sz w:val="20"/>
          <w:szCs w:val="20"/>
        </w:rPr>
        <w:t>e una evaluaci</w:t>
      </w:r>
      <w:r w:rsidRPr="001D529D">
        <w:rPr>
          <w:rFonts w:ascii="gobCL" w:hAnsi="gobCL" w:cs="gobCL"/>
          <w:color w:val="000000" w:themeColor="text1"/>
          <w:sz w:val="20"/>
          <w:szCs w:val="20"/>
        </w:rPr>
        <w:t>ó</w:t>
      </w:r>
      <w:r w:rsidRPr="001D529D">
        <w:rPr>
          <w:rFonts w:ascii="gobCL" w:hAnsi="gobCL"/>
          <w:color w:val="000000" w:themeColor="text1"/>
          <w:sz w:val="20"/>
          <w:szCs w:val="20"/>
        </w:rPr>
        <w:t>n de su implementaci</w:t>
      </w:r>
      <w:r w:rsidRPr="001D529D">
        <w:rPr>
          <w:rFonts w:ascii="gobCL" w:hAnsi="gobCL" w:cs="gobCL"/>
          <w:color w:val="000000" w:themeColor="text1"/>
          <w:sz w:val="20"/>
          <w:szCs w:val="20"/>
        </w:rPr>
        <w:t>ó</w:t>
      </w:r>
      <w:r w:rsidRPr="001D529D">
        <w:rPr>
          <w:rFonts w:ascii="gobCL" w:hAnsi="gobCL"/>
          <w:color w:val="000000" w:themeColor="text1"/>
          <w:sz w:val="20"/>
          <w:szCs w:val="20"/>
        </w:rPr>
        <w:t xml:space="preserve">n, identificando el grado de cumplimiento de compromisos y resultados. “Esta labor podría ser realizada también por la Agencia de Calidad de las Políticas Públicas, considerada dentro del Pacto Fiscal, en la medida que este nuevo organismo esté operativo a esa fecha “, dijo </w:t>
      </w:r>
      <w:proofErr w:type="spellStart"/>
      <w:r w:rsidRPr="001D529D">
        <w:rPr>
          <w:rFonts w:ascii="gobCL" w:hAnsi="gobCL"/>
          <w:color w:val="000000" w:themeColor="text1"/>
          <w:sz w:val="20"/>
          <w:szCs w:val="20"/>
        </w:rPr>
        <w:t>Berner</w:t>
      </w:r>
      <w:proofErr w:type="spellEnd"/>
      <w:r w:rsidRPr="001D529D">
        <w:rPr>
          <w:rFonts w:ascii="gobCL" w:hAnsi="gobCL"/>
          <w:color w:val="000000" w:themeColor="text1"/>
          <w:sz w:val="20"/>
          <w:szCs w:val="20"/>
        </w:rPr>
        <w:t>. Cumplidos cinco años se encomendaría a un organismo internacional la evaluación del impacto económico, fiscal y social de las medidas del Pacto Fiscal.</w:t>
      </w:r>
    </w:p>
    <w:p w14:paraId="17939938" w14:textId="77777777" w:rsidR="001D529D" w:rsidRPr="001D529D" w:rsidRDefault="001D529D" w:rsidP="001D529D">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La subsecretaria precisó que a mediados de este mes Hacienda presentará el resultado del comité de expertos para la determinación del “Dividendo de Crecimiento” y el informe encargado a la OCDE sobre las estimaciones del “Dividendo de Eficiencia”; y entregará un texto consolidado con los temas discutidos en las reuniones sostenidas en esta fase.</w:t>
      </w:r>
    </w:p>
    <w:p w14:paraId="6352653C" w14:textId="05C55BAF" w:rsidR="001D529D" w:rsidRPr="005D6F38" w:rsidRDefault="001D529D" w:rsidP="001D529D">
      <w:pPr>
        <w:jc w:val="both"/>
        <w:rPr>
          <w:rFonts w:ascii="gobCL" w:hAnsi="gobCL"/>
          <w:color w:val="262626" w:themeColor="text1" w:themeTint="D9"/>
        </w:rPr>
      </w:pPr>
      <w:r w:rsidRPr="005D6F38">
        <w:rPr>
          <w:rFonts w:ascii="gobCL" w:hAnsi="gobCL"/>
          <w:b/>
          <w:bCs/>
          <w:color w:val="006D98"/>
        </w:rPr>
        <w:lastRenderedPageBreak/>
        <w:t>Reuniones con empresas de menor tamaño</w:t>
      </w:r>
      <w:r w:rsidRPr="005D6F38">
        <w:rPr>
          <w:rFonts w:ascii="gobCL" w:hAnsi="gobCL"/>
          <w:color w:val="262626" w:themeColor="text1" w:themeTint="D9"/>
        </w:rPr>
        <w:t xml:space="preserve"> </w:t>
      </w:r>
    </w:p>
    <w:p w14:paraId="1469AC99" w14:textId="6B02A93A" w:rsidR="001D529D" w:rsidRPr="001D529D" w:rsidRDefault="001D529D" w:rsidP="001D529D">
      <w:pPr>
        <w:pStyle w:val="Ttulo3"/>
        <w:spacing w:before="0"/>
        <w:jc w:val="both"/>
        <w:rPr>
          <w:rFonts w:ascii="gobCL" w:hAnsi="gobCL"/>
          <w:i/>
          <w:iCs/>
          <w:color w:val="000000" w:themeColor="text1"/>
          <w:sz w:val="20"/>
          <w:szCs w:val="20"/>
        </w:rPr>
      </w:pPr>
    </w:p>
    <w:p w14:paraId="350F265A" w14:textId="77777777" w:rsidR="001D529D" w:rsidRPr="001D529D" w:rsidRDefault="001D529D" w:rsidP="001D529D">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Este miércoles también se sostuvieron dos reuniones con representantes de las empresas de menor tamaño. Durante la mañana conversaron con el ministro de Hacienda, Mario Marcel, sobre la necesidad de efectuar un análisis de la oferta programática de Corfo y Sercotec destinada a apoyar a este segmento.</w:t>
      </w:r>
    </w:p>
    <w:p w14:paraId="3BD0DC60" w14:textId="757080E0" w:rsidR="005D2C2C" w:rsidRDefault="001D529D" w:rsidP="005D6F38">
      <w:pPr>
        <w:pStyle w:val="NormalWeb"/>
        <w:spacing w:before="0" w:beforeAutospacing="0"/>
        <w:jc w:val="both"/>
        <w:rPr>
          <w:rFonts w:ascii="gobCL" w:hAnsi="gobCL"/>
          <w:color w:val="000000" w:themeColor="text1"/>
          <w:sz w:val="20"/>
          <w:szCs w:val="20"/>
        </w:rPr>
      </w:pPr>
      <w:r w:rsidRPr="001D529D">
        <w:rPr>
          <w:rFonts w:ascii="gobCL" w:hAnsi="gobCL"/>
          <w:color w:val="000000" w:themeColor="text1"/>
          <w:sz w:val="20"/>
          <w:szCs w:val="20"/>
        </w:rPr>
        <w:t>En la tarde la subsecretaria expuso las medidas propuestas para fortalecer el cumplimiento de las obligaciones tributarias, agrupadas en cuatro ámbitos: modernización de la administración tributaria y de los Tribunales Aduaneros Tributarios (TTA); justicia y equidad tributaria; medidas contra la informalidad; y el fortalecimiento de la Defensoría del Contribuyente (</w:t>
      </w:r>
      <w:proofErr w:type="spellStart"/>
      <w:r w:rsidRPr="001D529D">
        <w:rPr>
          <w:rFonts w:ascii="gobCL" w:hAnsi="gobCL"/>
          <w:color w:val="000000" w:themeColor="text1"/>
          <w:sz w:val="20"/>
          <w:szCs w:val="20"/>
        </w:rPr>
        <w:t>Dedecon</w:t>
      </w:r>
      <w:proofErr w:type="spellEnd"/>
      <w:r w:rsidRPr="001D529D">
        <w:rPr>
          <w:rFonts w:ascii="gobCL" w:hAnsi="gobCL"/>
          <w:color w:val="000000" w:themeColor="text1"/>
          <w:sz w:val="20"/>
          <w:szCs w:val="20"/>
        </w:rPr>
        <w:t>).</w:t>
      </w:r>
    </w:p>
    <w:p w14:paraId="16CC3027" w14:textId="3388A1D1" w:rsidR="005D6F38" w:rsidRDefault="005D6F38" w:rsidP="005D6F38">
      <w:pPr>
        <w:jc w:val="both"/>
        <w:rPr>
          <w:rFonts w:ascii="gobCL" w:hAnsi="gobCL"/>
          <w:b/>
          <w:bCs/>
          <w:color w:val="006D98"/>
        </w:rPr>
      </w:pPr>
      <w:r>
        <w:rPr>
          <w:rFonts w:ascii="gobCL" w:hAnsi="gobCL"/>
          <w:b/>
          <w:bCs/>
          <w:color w:val="006D98"/>
        </w:rPr>
        <w:t>Asistentes a reunión con partidos</w:t>
      </w:r>
    </w:p>
    <w:p w14:paraId="29FD5B51" w14:textId="77777777" w:rsidR="005D6F38" w:rsidRDefault="005D6F38" w:rsidP="005D6F38">
      <w:pPr>
        <w:jc w:val="both"/>
        <w:rPr>
          <w:rFonts w:ascii="gobCL" w:hAnsi="gobCL"/>
          <w:b/>
          <w:bCs/>
          <w:color w:val="006D98"/>
        </w:rPr>
      </w:pPr>
    </w:p>
    <w:p w14:paraId="6878DCB4" w14:textId="32600DC7" w:rsidR="005D6F38" w:rsidRPr="005D6F38" w:rsidRDefault="005D6F38" w:rsidP="005D6F38">
      <w:pPr>
        <w:rPr>
          <w:rFonts w:ascii="gobCL" w:hAnsi="gobCL"/>
          <w:color w:val="262626" w:themeColor="text1" w:themeTint="D9"/>
        </w:rPr>
      </w:pPr>
      <w:r w:rsidRPr="005D6F38">
        <w:rPr>
          <w:rFonts w:ascii="gobCL" w:hAnsi="gobCL"/>
          <w:color w:val="000000" w:themeColor="text1"/>
          <w:sz w:val="20"/>
          <w:szCs w:val="20"/>
        </w:rPr>
        <w:t>Por el FREVS, el asesor Sebastián León</w:t>
      </w:r>
      <w:r w:rsidRPr="005D6F38">
        <w:rPr>
          <w:rFonts w:ascii="gobCL" w:hAnsi="gobCL"/>
          <w:color w:val="000000" w:themeColor="text1"/>
          <w:sz w:val="20"/>
          <w:szCs w:val="20"/>
        </w:rPr>
        <w:br/>
        <w:t>Por el Partido Comunista, el asesor Elías Mella</w:t>
      </w:r>
      <w:r w:rsidRPr="005D6F38">
        <w:rPr>
          <w:rFonts w:ascii="gobCL" w:hAnsi="gobCL"/>
          <w:color w:val="000000" w:themeColor="text1"/>
          <w:sz w:val="20"/>
          <w:szCs w:val="20"/>
        </w:rPr>
        <w:br/>
        <w:t xml:space="preserve">Por Revolución Democrática, el senador Juan Ignacio Latorre y la asesora Rocío </w:t>
      </w:r>
      <w:proofErr w:type="spellStart"/>
      <w:r w:rsidRPr="005D6F38">
        <w:rPr>
          <w:rFonts w:ascii="gobCL" w:hAnsi="gobCL"/>
          <w:color w:val="000000" w:themeColor="text1"/>
          <w:sz w:val="20"/>
          <w:szCs w:val="20"/>
        </w:rPr>
        <w:t>Fondó</w:t>
      </w:r>
      <w:proofErr w:type="spellEnd"/>
      <w:r w:rsidRPr="005D6F38">
        <w:rPr>
          <w:rFonts w:ascii="gobCL" w:hAnsi="gobCL"/>
          <w:color w:val="000000" w:themeColor="text1"/>
          <w:sz w:val="20"/>
          <w:szCs w:val="20"/>
        </w:rPr>
        <w:br/>
        <w:t xml:space="preserve">Por Convergencia Social, el asesor Mauricio </w:t>
      </w:r>
      <w:proofErr w:type="spellStart"/>
      <w:r w:rsidRPr="005D6F38">
        <w:rPr>
          <w:rFonts w:ascii="gobCL" w:hAnsi="gobCL"/>
          <w:color w:val="000000" w:themeColor="text1"/>
          <w:sz w:val="20"/>
          <w:szCs w:val="20"/>
        </w:rPr>
        <w:t>Pardó</w:t>
      </w:r>
      <w:proofErr w:type="spellEnd"/>
      <w:r w:rsidRPr="005D6F38">
        <w:rPr>
          <w:rFonts w:ascii="gobCL" w:hAnsi="gobCL"/>
          <w:color w:val="000000" w:themeColor="text1"/>
          <w:sz w:val="20"/>
          <w:szCs w:val="20"/>
        </w:rPr>
        <w:br/>
        <w:t>Por el PPD, los asesores Álvaro García y Reinaldo Monardes</w:t>
      </w:r>
      <w:r w:rsidRPr="005D6F38">
        <w:rPr>
          <w:rFonts w:ascii="gobCL" w:hAnsi="gobCL"/>
          <w:color w:val="000000" w:themeColor="text1"/>
          <w:sz w:val="20"/>
          <w:szCs w:val="20"/>
        </w:rPr>
        <w:br/>
        <w:t>Por el Partido Socialista, el asesor Gonzalo Urrutia</w:t>
      </w:r>
      <w:r w:rsidRPr="005D6F38">
        <w:rPr>
          <w:rFonts w:ascii="gobCL" w:hAnsi="gobCL"/>
          <w:color w:val="000000" w:themeColor="text1"/>
          <w:sz w:val="20"/>
          <w:szCs w:val="20"/>
        </w:rPr>
        <w:br/>
        <w:t>Por la Democracia Cristiana, la senadora Yasna Provoste y el asesor Julio Valladares</w:t>
      </w:r>
      <w:r w:rsidRPr="005D6F38">
        <w:rPr>
          <w:rFonts w:ascii="gobCL" w:hAnsi="gobCL"/>
          <w:color w:val="000000" w:themeColor="text1"/>
          <w:sz w:val="20"/>
          <w:szCs w:val="20"/>
        </w:rPr>
        <w:br/>
        <w:t>Por Amarillos, el asesor René Cortázar</w:t>
      </w:r>
      <w:r w:rsidRPr="005D6F38">
        <w:rPr>
          <w:rFonts w:ascii="gobCL" w:hAnsi="gobCL"/>
          <w:color w:val="000000" w:themeColor="text1"/>
          <w:sz w:val="20"/>
          <w:szCs w:val="20"/>
        </w:rPr>
        <w:br/>
        <w:t>Por el Partido de la Gente, la asesora Denisse Catalán</w:t>
      </w:r>
      <w:r w:rsidRPr="005D6F38">
        <w:rPr>
          <w:rFonts w:ascii="gobCL" w:hAnsi="gobCL"/>
          <w:color w:val="000000" w:themeColor="text1"/>
          <w:sz w:val="20"/>
          <w:szCs w:val="20"/>
        </w:rPr>
        <w:br/>
        <w:t>Por Avancemos Chile, los asesores Eduardo Magaña y Josué Muñoz</w:t>
      </w:r>
      <w:r w:rsidRPr="005D6F38">
        <w:rPr>
          <w:rFonts w:ascii="gobCL" w:hAnsi="gobCL"/>
          <w:color w:val="000000" w:themeColor="text1"/>
          <w:sz w:val="20"/>
          <w:szCs w:val="20"/>
        </w:rPr>
        <w:br/>
        <w:t xml:space="preserve">Por </w:t>
      </w:r>
      <w:proofErr w:type="spellStart"/>
      <w:r w:rsidRPr="005D6F38">
        <w:rPr>
          <w:rFonts w:ascii="gobCL" w:hAnsi="gobCL"/>
          <w:color w:val="000000" w:themeColor="text1"/>
          <w:sz w:val="20"/>
          <w:szCs w:val="20"/>
        </w:rPr>
        <w:t>Evópoli</w:t>
      </w:r>
      <w:proofErr w:type="spellEnd"/>
      <w:r w:rsidRPr="005D6F38">
        <w:rPr>
          <w:rFonts w:ascii="gobCL" w:hAnsi="gobCL"/>
          <w:color w:val="000000" w:themeColor="text1"/>
          <w:sz w:val="20"/>
          <w:szCs w:val="20"/>
        </w:rPr>
        <w:t xml:space="preserve">, el asesor Juan José </w:t>
      </w:r>
      <w:proofErr w:type="spellStart"/>
      <w:r w:rsidRPr="005D6F38">
        <w:rPr>
          <w:rFonts w:ascii="gobCL" w:hAnsi="gobCL"/>
          <w:color w:val="000000" w:themeColor="text1"/>
          <w:sz w:val="20"/>
          <w:szCs w:val="20"/>
        </w:rPr>
        <w:t>Obach</w:t>
      </w:r>
      <w:proofErr w:type="spellEnd"/>
      <w:r w:rsidRPr="005D6F38">
        <w:rPr>
          <w:rFonts w:ascii="gobCL" w:hAnsi="gobCL"/>
          <w:color w:val="000000" w:themeColor="text1"/>
          <w:sz w:val="20"/>
          <w:szCs w:val="20"/>
        </w:rPr>
        <w:br/>
        <w:t>Por Renovación Nacional, los asesores Daniel Muñoz y Sebastián Amado</w:t>
      </w:r>
      <w:r w:rsidRPr="005D6F38">
        <w:rPr>
          <w:rFonts w:ascii="gobCL" w:hAnsi="gobCL"/>
          <w:color w:val="000000" w:themeColor="text1"/>
          <w:sz w:val="20"/>
          <w:szCs w:val="20"/>
        </w:rPr>
        <w:br/>
        <w:t xml:space="preserve">Por la UDI, las asesoras Bárbara </w:t>
      </w:r>
      <w:proofErr w:type="spellStart"/>
      <w:r w:rsidRPr="005D6F38">
        <w:rPr>
          <w:rFonts w:ascii="gobCL" w:hAnsi="gobCL"/>
          <w:color w:val="000000" w:themeColor="text1"/>
          <w:sz w:val="20"/>
          <w:szCs w:val="20"/>
        </w:rPr>
        <w:t>Bayolo</w:t>
      </w:r>
      <w:proofErr w:type="spellEnd"/>
      <w:r w:rsidRPr="005D6F38">
        <w:rPr>
          <w:rFonts w:ascii="gobCL" w:hAnsi="gobCL"/>
          <w:color w:val="000000" w:themeColor="text1"/>
          <w:sz w:val="20"/>
          <w:szCs w:val="20"/>
        </w:rPr>
        <w:t>, Carolina Fuensalida y María Ignacia Navarro</w:t>
      </w:r>
      <w:r w:rsidRPr="005D6F38">
        <w:rPr>
          <w:rFonts w:ascii="gobCL" w:hAnsi="gobCL"/>
          <w:color w:val="000000" w:themeColor="text1"/>
          <w:sz w:val="20"/>
          <w:szCs w:val="20"/>
        </w:rPr>
        <w:br/>
        <w:t>Por el Partido Radical, Sergio Villegas</w:t>
      </w:r>
      <w:r w:rsidRPr="005D6F38">
        <w:rPr>
          <w:rFonts w:ascii="gobCL" w:hAnsi="gobCL"/>
          <w:color w:val="000000" w:themeColor="text1"/>
          <w:sz w:val="20"/>
          <w:szCs w:val="20"/>
        </w:rPr>
        <w:br/>
        <w:t>Por el partido Comunes, Carlos Briceño</w:t>
      </w:r>
    </w:p>
    <w:p w14:paraId="76E85249" w14:textId="77777777" w:rsidR="005D6F38" w:rsidRDefault="005D6F38" w:rsidP="005D6F38">
      <w:pPr>
        <w:pStyle w:val="NormalWeb"/>
        <w:spacing w:before="0" w:beforeAutospacing="0"/>
        <w:rPr>
          <w:rFonts w:ascii="gobCL" w:hAnsi="gobCL"/>
          <w:color w:val="000000" w:themeColor="text1"/>
          <w:sz w:val="20"/>
          <w:szCs w:val="20"/>
        </w:rPr>
      </w:pPr>
    </w:p>
    <w:p w14:paraId="6C994433" w14:textId="46FF1BAE" w:rsidR="005D6F38" w:rsidRDefault="005D6F38" w:rsidP="005D6F38">
      <w:pPr>
        <w:jc w:val="both"/>
        <w:rPr>
          <w:rFonts w:ascii="gobCL" w:hAnsi="gobCL"/>
          <w:b/>
          <w:bCs/>
          <w:color w:val="006D98"/>
        </w:rPr>
      </w:pPr>
      <w:r>
        <w:rPr>
          <w:rFonts w:ascii="gobCL" w:hAnsi="gobCL"/>
          <w:b/>
          <w:bCs/>
          <w:color w:val="006D98"/>
        </w:rPr>
        <w:t xml:space="preserve">Asistentes a reunión con </w:t>
      </w:r>
      <w:r>
        <w:rPr>
          <w:rFonts w:ascii="gobCL" w:hAnsi="gobCL"/>
          <w:b/>
          <w:bCs/>
          <w:color w:val="006D98"/>
        </w:rPr>
        <w:t>empresas de menor tamaño</w:t>
      </w:r>
    </w:p>
    <w:p w14:paraId="25212295" w14:textId="77777777" w:rsidR="005D6F38" w:rsidRDefault="005D6F38" w:rsidP="005D6F38">
      <w:pPr>
        <w:jc w:val="both"/>
        <w:rPr>
          <w:rFonts w:ascii="gobCL" w:hAnsi="gobCL"/>
          <w:b/>
          <w:bCs/>
          <w:color w:val="006D98"/>
        </w:rPr>
      </w:pPr>
    </w:p>
    <w:p w14:paraId="4B9F7905" w14:textId="4EDA3B48" w:rsidR="005D6F38" w:rsidRPr="005D6F38" w:rsidRDefault="005D6F38" w:rsidP="005D6F38">
      <w:pPr>
        <w:rPr>
          <w:rFonts w:ascii="gobCL" w:hAnsi="gobCL"/>
          <w:b/>
          <w:bCs/>
          <w:color w:val="006D98"/>
        </w:rPr>
      </w:pPr>
      <w:proofErr w:type="spellStart"/>
      <w:r w:rsidRPr="005D6F38">
        <w:rPr>
          <w:rFonts w:ascii="gobCL" w:hAnsi="gobCL"/>
          <w:color w:val="000000" w:themeColor="text1"/>
          <w:sz w:val="20"/>
          <w:szCs w:val="20"/>
        </w:rPr>
        <w:t>Conapyme</w:t>
      </w:r>
      <w:proofErr w:type="spellEnd"/>
      <w:r w:rsidRPr="005D6F38">
        <w:rPr>
          <w:rFonts w:ascii="gobCL" w:hAnsi="gobCL"/>
          <w:color w:val="000000" w:themeColor="text1"/>
          <w:sz w:val="20"/>
          <w:szCs w:val="20"/>
        </w:rPr>
        <w:t xml:space="preserve">, Héctor Sandoval y Christian </w:t>
      </w:r>
      <w:proofErr w:type="spellStart"/>
      <w:r w:rsidRPr="005D6F38">
        <w:rPr>
          <w:rFonts w:ascii="gobCL" w:hAnsi="gobCL"/>
          <w:color w:val="000000" w:themeColor="text1"/>
          <w:sz w:val="20"/>
          <w:szCs w:val="20"/>
        </w:rPr>
        <w:t>Aste</w:t>
      </w:r>
      <w:proofErr w:type="spellEnd"/>
      <w:r w:rsidRPr="005D6F38">
        <w:rPr>
          <w:rFonts w:ascii="gobCL" w:hAnsi="gobCL"/>
          <w:color w:val="000000" w:themeColor="text1"/>
          <w:sz w:val="20"/>
          <w:szCs w:val="20"/>
        </w:rPr>
        <w:t xml:space="preserve"> (asesor tributario)</w:t>
      </w:r>
      <w:r w:rsidRPr="005D6F38">
        <w:rPr>
          <w:rFonts w:ascii="gobCL" w:hAnsi="gobCL"/>
          <w:color w:val="000000" w:themeColor="text1"/>
          <w:sz w:val="20"/>
          <w:szCs w:val="20"/>
        </w:rPr>
        <w:br/>
        <w:t>FENTETUCH, Verónica Contreras</w:t>
      </w:r>
      <w:r w:rsidRPr="005D6F38">
        <w:rPr>
          <w:rFonts w:ascii="gobCL" w:hAnsi="gobCL"/>
          <w:color w:val="000000" w:themeColor="text1"/>
          <w:sz w:val="20"/>
          <w:szCs w:val="20"/>
        </w:rPr>
        <w:br/>
      </w:r>
      <w:proofErr w:type="spellStart"/>
      <w:r w:rsidRPr="005D6F38">
        <w:rPr>
          <w:rFonts w:ascii="gobCL" w:hAnsi="gobCL"/>
          <w:color w:val="000000" w:themeColor="text1"/>
          <w:sz w:val="20"/>
          <w:szCs w:val="20"/>
        </w:rPr>
        <w:t>ProPyme</w:t>
      </w:r>
      <w:proofErr w:type="spellEnd"/>
      <w:r w:rsidRPr="005D6F38">
        <w:rPr>
          <w:rFonts w:ascii="gobCL" w:hAnsi="gobCL"/>
          <w:color w:val="000000" w:themeColor="text1"/>
          <w:sz w:val="20"/>
          <w:szCs w:val="20"/>
        </w:rPr>
        <w:t>, Rodrigo Bon</w:t>
      </w:r>
      <w:r w:rsidRPr="005D6F38">
        <w:rPr>
          <w:rFonts w:ascii="gobCL" w:hAnsi="gobCL"/>
          <w:color w:val="000000" w:themeColor="text1"/>
          <w:sz w:val="20"/>
          <w:szCs w:val="20"/>
        </w:rPr>
        <w:br/>
      </w:r>
      <w:proofErr w:type="spellStart"/>
      <w:r w:rsidRPr="005D6F38">
        <w:rPr>
          <w:rFonts w:ascii="gobCL" w:hAnsi="gobCL"/>
          <w:color w:val="000000" w:themeColor="text1"/>
          <w:sz w:val="20"/>
          <w:szCs w:val="20"/>
        </w:rPr>
        <w:t>ConverPyme</w:t>
      </w:r>
      <w:proofErr w:type="spellEnd"/>
      <w:r w:rsidRPr="005D6F38">
        <w:rPr>
          <w:rFonts w:ascii="gobCL" w:hAnsi="gobCL"/>
          <w:color w:val="000000" w:themeColor="text1"/>
          <w:sz w:val="20"/>
          <w:szCs w:val="20"/>
        </w:rPr>
        <w:t>, Roberto Rojas</w:t>
      </w:r>
      <w:r w:rsidRPr="005D6F38">
        <w:rPr>
          <w:rFonts w:ascii="gobCL" w:hAnsi="gobCL"/>
          <w:color w:val="000000" w:themeColor="text1"/>
          <w:sz w:val="20"/>
          <w:szCs w:val="20"/>
        </w:rPr>
        <w:br/>
      </w:r>
      <w:proofErr w:type="spellStart"/>
      <w:r w:rsidRPr="005D6F38">
        <w:rPr>
          <w:rFonts w:ascii="gobCL" w:hAnsi="gobCL"/>
          <w:color w:val="000000" w:themeColor="text1"/>
          <w:sz w:val="20"/>
          <w:szCs w:val="20"/>
        </w:rPr>
        <w:t>Asexma</w:t>
      </w:r>
      <w:proofErr w:type="spellEnd"/>
      <w:r w:rsidRPr="005D6F38">
        <w:rPr>
          <w:rFonts w:ascii="gobCL" w:hAnsi="gobCL"/>
          <w:color w:val="000000" w:themeColor="text1"/>
          <w:sz w:val="20"/>
          <w:szCs w:val="20"/>
        </w:rPr>
        <w:t xml:space="preserve">, Marcos </w:t>
      </w:r>
      <w:proofErr w:type="spellStart"/>
      <w:r w:rsidRPr="005D6F38">
        <w:rPr>
          <w:rFonts w:ascii="gobCL" w:hAnsi="gobCL"/>
          <w:color w:val="000000" w:themeColor="text1"/>
          <w:sz w:val="20"/>
          <w:szCs w:val="20"/>
        </w:rPr>
        <w:t>Illesca</w:t>
      </w:r>
      <w:proofErr w:type="spellEnd"/>
      <w:r w:rsidRPr="005D6F38">
        <w:rPr>
          <w:rFonts w:ascii="gobCL" w:hAnsi="gobCL"/>
          <w:color w:val="000000" w:themeColor="text1"/>
          <w:sz w:val="20"/>
          <w:szCs w:val="20"/>
        </w:rPr>
        <w:br/>
      </w:r>
      <w:proofErr w:type="spellStart"/>
      <w:r w:rsidRPr="005D6F38">
        <w:rPr>
          <w:rFonts w:ascii="gobCL" w:hAnsi="gobCL"/>
          <w:color w:val="000000" w:themeColor="text1"/>
          <w:sz w:val="20"/>
          <w:szCs w:val="20"/>
        </w:rPr>
        <w:t>Conupia</w:t>
      </w:r>
      <w:proofErr w:type="spellEnd"/>
      <w:r w:rsidRPr="005D6F38">
        <w:rPr>
          <w:rFonts w:ascii="gobCL" w:hAnsi="gobCL"/>
          <w:color w:val="000000" w:themeColor="text1"/>
          <w:sz w:val="20"/>
          <w:szCs w:val="20"/>
        </w:rPr>
        <w:t>, Humberto Solar</w:t>
      </w:r>
      <w:r w:rsidRPr="005D6F38">
        <w:rPr>
          <w:rFonts w:ascii="gobCL" w:hAnsi="gobCL"/>
          <w:color w:val="000000" w:themeColor="text1"/>
          <w:sz w:val="20"/>
          <w:szCs w:val="20"/>
        </w:rPr>
        <w:br/>
        <w:t xml:space="preserve">CNP, Germán </w:t>
      </w:r>
      <w:proofErr w:type="spellStart"/>
      <w:r w:rsidRPr="005D6F38">
        <w:rPr>
          <w:rFonts w:ascii="gobCL" w:hAnsi="gobCL"/>
          <w:color w:val="000000" w:themeColor="text1"/>
          <w:sz w:val="20"/>
          <w:szCs w:val="20"/>
        </w:rPr>
        <w:t>Dastres</w:t>
      </w:r>
      <w:proofErr w:type="spellEnd"/>
      <w:r w:rsidRPr="005D6F38">
        <w:rPr>
          <w:rFonts w:ascii="gobCL" w:hAnsi="gobCL"/>
          <w:color w:val="000000" w:themeColor="text1"/>
          <w:sz w:val="20"/>
          <w:szCs w:val="20"/>
        </w:rPr>
        <w:t xml:space="preserve"> y Luis </w:t>
      </w:r>
      <w:proofErr w:type="spellStart"/>
      <w:r w:rsidRPr="005D6F38">
        <w:rPr>
          <w:rFonts w:ascii="gobCL" w:hAnsi="gobCL"/>
          <w:color w:val="000000" w:themeColor="text1"/>
          <w:sz w:val="20"/>
          <w:szCs w:val="20"/>
        </w:rPr>
        <w:t>Foncea</w:t>
      </w:r>
      <w:proofErr w:type="spellEnd"/>
      <w:r w:rsidRPr="005D6F38">
        <w:rPr>
          <w:rFonts w:ascii="gobCL" w:hAnsi="gobCL"/>
          <w:color w:val="000000" w:themeColor="text1"/>
          <w:sz w:val="20"/>
          <w:szCs w:val="20"/>
        </w:rPr>
        <w:br/>
      </w:r>
      <w:proofErr w:type="spellStart"/>
      <w:r w:rsidRPr="005D6F38">
        <w:rPr>
          <w:rFonts w:ascii="gobCL" w:hAnsi="gobCL"/>
          <w:color w:val="000000" w:themeColor="text1"/>
          <w:sz w:val="20"/>
          <w:szCs w:val="20"/>
        </w:rPr>
        <w:t>ChileSertur</w:t>
      </w:r>
      <w:proofErr w:type="spellEnd"/>
      <w:r w:rsidRPr="005D6F38">
        <w:rPr>
          <w:rFonts w:ascii="gobCL" w:hAnsi="gobCL"/>
          <w:color w:val="000000" w:themeColor="text1"/>
          <w:sz w:val="20"/>
          <w:szCs w:val="20"/>
        </w:rPr>
        <w:t>, Evelyn Henríquez</w:t>
      </w:r>
      <w:r w:rsidRPr="005D6F38">
        <w:rPr>
          <w:rFonts w:ascii="gobCL" w:hAnsi="gobCL"/>
          <w:color w:val="000000" w:themeColor="text1"/>
          <w:sz w:val="20"/>
          <w:szCs w:val="20"/>
        </w:rPr>
        <w:br/>
      </w:r>
      <w:proofErr w:type="spellStart"/>
      <w:r w:rsidRPr="005D6F38">
        <w:rPr>
          <w:rFonts w:ascii="gobCL" w:hAnsi="gobCL"/>
          <w:color w:val="000000" w:themeColor="text1"/>
          <w:sz w:val="20"/>
          <w:szCs w:val="20"/>
        </w:rPr>
        <w:t>Unapyme</w:t>
      </w:r>
      <w:proofErr w:type="spellEnd"/>
      <w:r w:rsidRPr="005D6F38">
        <w:rPr>
          <w:rFonts w:ascii="gobCL" w:hAnsi="gobCL"/>
          <w:color w:val="000000" w:themeColor="text1"/>
          <w:sz w:val="20"/>
          <w:szCs w:val="20"/>
        </w:rPr>
        <w:t>, Lautaro Videla</w:t>
      </w:r>
      <w:r w:rsidRPr="005D6F38">
        <w:rPr>
          <w:rFonts w:ascii="gobCL" w:hAnsi="gobCL"/>
          <w:color w:val="000000" w:themeColor="text1"/>
          <w:sz w:val="20"/>
          <w:szCs w:val="20"/>
        </w:rPr>
        <w:br/>
        <w:t>CNDC, Roberto González</w:t>
      </w:r>
      <w:r w:rsidRPr="005D6F38">
        <w:rPr>
          <w:rFonts w:ascii="gobCL" w:hAnsi="gobCL"/>
          <w:color w:val="000000" w:themeColor="text1"/>
          <w:sz w:val="20"/>
          <w:szCs w:val="20"/>
        </w:rPr>
        <w:br/>
      </w:r>
      <w:proofErr w:type="spellStart"/>
      <w:r w:rsidRPr="005D6F38">
        <w:rPr>
          <w:rFonts w:ascii="gobCL" w:hAnsi="gobCL"/>
          <w:color w:val="000000" w:themeColor="text1"/>
          <w:sz w:val="20"/>
          <w:szCs w:val="20"/>
        </w:rPr>
        <w:t>Asech</w:t>
      </w:r>
      <w:proofErr w:type="spellEnd"/>
      <w:r w:rsidRPr="005D6F38">
        <w:rPr>
          <w:rFonts w:ascii="gobCL" w:hAnsi="gobCL"/>
          <w:color w:val="000000" w:themeColor="text1"/>
          <w:sz w:val="20"/>
          <w:szCs w:val="20"/>
        </w:rPr>
        <w:t>, Rodrigo Silva</w:t>
      </w:r>
      <w:r w:rsidRPr="005D6F38">
        <w:rPr>
          <w:rFonts w:ascii="gobCL" w:hAnsi="gobCL"/>
          <w:color w:val="000000" w:themeColor="text1"/>
          <w:sz w:val="20"/>
          <w:szCs w:val="20"/>
        </w:rPr>
        <w:br/>
      </w:r>
      <w:proofErr w:type="spellStart"/>
      <w:r w:rsidRPr="005D6F38">
        <w:rPr>
          <w:rFonts w:ascii="gobCL" w:hAnsi="gobCL"/>
          <w:color w:val="000000" w:themeColor="text1"/>
          <w:sz w:val="20"/>
          <w:szCs w:val="20"/>
        </w:rPr>
        <w:t>Unapyme</w:t>
      </w:r>
      <w:proofErr w:type="spellEnd"/>
      <w:r w:rsidRPr="005D6F38">
        <w:rPr>
          <w:rFonts w:ascii="gobCL" w:hAnsi="gobCL"/>
          <w:color w:val="000000" w:themeColor="text1"/>
          <w:sz w:val="20"/>
          <w:szCs w:val="20"/>
        </w:rPr>
        <w:t xml:space="preserve">, Luis </w:t>
      </w:r>
      <w:proofErr w:type="spellStart"/>
      <w:r w:rsidRPr="005D6F38">
        <w:rPr>
          <w:rFonts w:ascii="gobCL" w:hAnsi="gobCL"/>
          <w:color w:val="000000" w:themeColor="text1"/>
          <w:sz w:val="20"/>
          <w:szCs w:val="20"/>
        </w:rPr>
        <w:t>Solis</w:t>
      </w:r>
      <w:proofErr w:type="spellEnd"/>
    </w:p>
    <w:p w14:paraId="56349C18" w14:textId="77777777" w:rsidR="005D6F38" w:rsidRPr="005D6F38" w:rsidRDefault="005D6F38" w:rsidP="005D6F38">
      <w:pPr>
        <w:pStyle w:val="NormalWeb"/>
        <w:spacing w:before="0" w:beforeAutospacing="0"/>
        <w:jc w:val="both"/>
        <w:rPr>
          <w:rFonts w:ascii="gobCL" w:hAnsi="gobCL"/>
          <w:color w:val="000000" w:themeColor="text1"/>
          <w:sz w:val="20"/>
          <w:szCs w:val="20"/>
        </w:rPr>
      </w:pPr>
    </w:p>
    <w:sectPr w:rsidR="005D6F38" w:rsidRPr="005D6F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BBAA" w14:textId="77777777" w:rsidR="00C71894" w:rsidRDefault="00C71894" w:rsidP="00F75F0C">
      <w:r>
        <w:separator/>
      </w:r>
    </w:p>
  </w:endnote>
  <w:endnote w:type="continuationSeparator" w:id="0">
    <w:p w14:paraId="48BE0F5A" w14:textId="77777777" w:rsidR="00C71894" w:rsidRDefault="00C71894" w:rsidP="00F7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bCL">
    <w:altName w:val="Times New Roman"/>
    <w:panose1 w:val="02000603060000020004"/>
    <w:charset w:val="00"/>
    <w:family w:val="modern"/>
    <w:notTrueType/>
    <w:pitch w:val="variable"/>
    <w:sig w:usb0="20000007" w:usb1="00000000" w:usb2="00000000" w:usb3="00000000" w:csb0="00000111" w:csb1="00000000"/>
  </w:font>
  <w:font w:name="DM Sans">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1A53" w14:textId="556B948C" w:rsidR="00704306" w:rsidRDefault="009226AD">
    <w:pPr>
      <w:pStyle w:val="Piedepgina"/>
    </w:pPr>
    <w:r>
      <w:rPr>
        <w:noProof/>
        <w:lang w:eastAsia="es-CL"/>
      </w:rPr>
      <w:drawing>
        <wp:anchor distT="0" distB="0" distL="114300" distR="114300" simplePos="0" relativeHeight="251660288" behindDoc="1" locked="0" layoutInCell="1" allowOverlap="1" wp14:anchorId="1B2E9B8C" wp14:editId="65A2C912">
          <wp:simplePos x="0" y="0"/>
          <wp:positionH relativeFrom="page">
            <wp:posOffset>0</wp:posOffset>
          </wp:positionH>
          <wp:positionV relativeFrom="paragraph">
            <wp:posOffset>-268752</wp:posOffset>
          </wp:positionV>
          <wp:extent cx="7764780" cy="1241425"/>
          <wp:effectExtent l="0" t="0" r="7620" b="0"/>
          <wp:wrapNone/>
          <wp:docPr id="6" name="Imagen 6"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64780" cy="1241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0B11" w14:textId="77777777" w:rsidR="00C71894" w:rsidRDefault="00C71894" w:rsidP="00F75F0C">
      <w:r>
        <w:separator/>
      </w:r>
    </w:p>
  </w:footnote>
  <w:footnote w:type="continuationSeparator" w:id="0">
    <w:p w14:paraId="7C7D9660" w14:textId="77777777" w:rsidR="00C71894" w:rsidRDefault="00C71894" w:rsidP="00F7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BDEE" w14:textId="131E4306" w:rsidR="00DD4827" w:rsidRDefault="00DD4827">
    <w:pPr>
      <w:pStyle w:val="Encabezado"/>
    </w:pPr>
    <w:r>
      <w:rPr>
        <w:noProof/>
        <w:lang w:eastAsia="es-CL"/>
      </w:rPr>
      <w:drawing>
        <wp:anchor distT="0" distB="0" distL="114300" distR="114300" simplePos="0" relativeHeight="251659264" behindDoc="0" locked="0" layoutInCell="1" allowOverlap="1" wp14:anchorId="669E7FCC" wp14:editId="0AFE00FE">
          <wp:simplePos x="0" y="0"/>
          <wp:positionH relativeFrom="page">
            <wp:posOffset>-147320</wp:posOffset>
          </wp:positionH>
          <wp:positionV relativeFrom="paragraph">
            <wp:posOffset>-440055</wp:posOffset>
          </wp:positionV>
          <wp:extent cx="1280795" cy="873760"/>
          <wp:effectExtent l="0" t="0" r="0" b="2540"/>
          <wp:wrapSquare wrapText="bothSides"/>
          <wp:docPr id="11" name="Imagen 1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t="-1" b="14395"/>
                  <a:stretch/>
                </pic:blipFill>
                <pic:spPr bwMode="auto">
                  <a:xfrm>
                    <a:off x="0" y="0"/>
                    <a:ext cx="1280795"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66A54" w14:textId="16EBA7C0" w:rsidR="00F75F0C" w:rsidRDefault="00F75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13BD"/>
    <w:multiLevelType w:val="hybridMultilevel"/>
    <w:tmpl w:val="CD7805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C7D3B4B"/>
    <w:multiLevelType w:val="hybridMultilevel"/>
    <w:tmpl w:val="F96A0EB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468F2D58"/>
    <w:multiLevelType w:val="multilevel"/>
    <w:tmpl w:val="A468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3360C"/>
    <w:multiLevelType w:val="hybridMultilevel"/>
    <w:tmpl w:val="01382B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0C27468"/>
    <w:multiLevelType w:val="hybridMultilevel"/>
    <w:tmpl w:val="35B003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775595E"/>
    <w:multiLevelType w:val="hybridMultilevel"/>
    <w:tmpl w:val="7B1432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484F12"/>
    <w:multiLevelType w:val="hybridMultilevel"/>
    <w:tmpl w:val="488E02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124508"/>
    <w:multiLevelType w:val="hybridMultilevel"/>
    <w:tmpl w:val="136A2E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61720515">
    <w:abstractNumId w:val="3"/>
  </w:num>
  <w:num w:numId="2" w16cid:durableId="1131166904">
    <w:abstractNumId w:val="7"/>
  </w:num>
  <w:num w:numId="3" w16cid:durableId="2096199073">
    <w:abstractNumId w:val="0"/>
  </w:num>
  <w:num w:numId="4" w16cid:durableId="644508417">
    <w:abstractNumId w:val="5"/>
  </w:num>
  <w:num w:numId="5" w16cid:durableId="2048748833">
    <w:abstractNumId w:val="4"/>
  </w:num>
  <w:num w:numId="6" w16cid:durableId="576985081">
    <w:abstractNumId w:val="1"/>
  </w:num>
  <w:num w:numId="7" w16cid:durableId="9140415">
    <w:abstractNumId w:val="6"/>
  </w:num>
  <w:num w:numId="8" w16cid:durableId="509832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45"/>
    <w:rsid w:val="000027C4"/>
    <w:rsid w:val="00011E6B"/>
    <w:rsid w:val="00017C33"/>
    <w:rsid w:val="0002163B"/>
    <w:rsid w:val="00033F37"/>
    <w:rsid w:val="00034847"/>
    <w:rsid w:val="00041DEF"/>
    <w:rsid w:val="00067228"/>
    <w:rsid w:val="00070477"/>
    <w:rsid w:val="00081BB3"/>
    <w:rsid w:val="000821DE"/>
    <w:rsid w:val="00086F0D"/>
    <w:rsid w:val="00094865"/>
    <w:rsid w:val="000954C0"/>
    <w:rsid w:val="000A374F"/>
    <w:rsid w:val="000A59D7"/>
    <w:rsid w:val="000A6A23"/>
    <w:rsid w:val="000B07D2"/>
    <w:rsid w:val="000B1A8E"/>
    <w:rsid w:val="000B2301"/>
    <w:rsid w:val="000C24FA"/>
    <w:rsid w:val="000C6CA4"/>
    <w:rsid w:val="000D32A8"/>
    <w:rsid w:val="000D7FD3"/>
    <w:rsid w:val="000E4EA6"/>
    <w:rsid w:val="001003CF"/>
    <w:rsid w:val="00110C5D"/>
    <w:rsid w:val="00112570"/>
    <w:rsid w:val="00116376"/>
    <w:rsid w:val="00116E87"/>
    <w:rsid w:val="00117842"/>
    <w:rsid w:val="001200F3"/>
    <w:rsid w:val="00120A98"/>
    <w:rsid w:val="00131B17"/>
    <w:rsid w:val="0014106B"/>
    <w:rsid w:val="001412FA"/>
    <w:rsid w:val="001414FA"/>
    <w:rsid w:val="001458C5"/>
    <w:rsid w:val="00153713"/>
    <w:rsid w:val="00155ABA"/>
    <w:rsid w:val="001572A5"/>
    <w:rsid w:val="0017547C"/>
    <w:rsid w:val="00175F76"/>
    <w:rsid w:val="00180E30"/>
    <w:rsid w:val="0018120F"/>
    <w:rsid w:val="00183410"/>
    <w:rsid w:val="001834E8"/>
    <w:rsid w:val="0018651C"/>
    <w:rsid w:val="00190609"/>
    <w:rsid w:val="00194985"/>
    <w:rsid w:val="0019509B"/>
    <w:rsid w:val="00195A10"/>
    <w:rsid w:val="001A0899"/>
    <w:rsid w:val="001A0D60"/>
    <w:rsid w:val="001A2430"/>
    <w:rsid w:val="001A30B4"/>
    <w:rsid w:val="001A7D4E"/>
    <w:rsid w:val="001B4DC7"/>
    <w:rsid w:val="001B64DB"/>
    <w:rsid w:val="001C073E"/>
    <w:rsid w:val="001C5960"/>
    <w:rsid w:val="001C59E2"/>
    <w:rsid w:val="001C79AF"/>
    <w:rsid w:val="001D06A8"/>
    <w:rsid w:val="001D08C3"/>
    <w:rsid w:val="001D4899"/>
    <w:rsid w:val="001D529D"/>
    <w:rsid w:val="001D5894"/>
    <w:rsid w:val="001D6D93"/>
    <w:rsid w:val="00207275"/>
    <w:rsid w:val="00207753"/>
    <w:rsid w:val="00211FFF"/>
    <w:rsid w:val="00215E5E"/>
    <w:rsid w:val="00225F3D"/>
    <w:rsid w:val="002261EB"/>
    <w:rsid w:val="002327C3"/>
    <w:rsid w:val="00233609"/>
    <w:rsid w:val="002345A8"/>
    <w:rsid w:val="00236E26"/>
    <w:rsid w:val="0024415B"/>
    <w:rsid w:val="00246A20"/>
    <w:rsid w:val="00250DD4"/>
    <w:rsid w:val="00251E61"/>
    <w:rsid w:val="00252719"/>
    <w:rsid w:val="00262BB2"/>
    <w:rsid w:val="0026382D"/>
    <w:rsid w:val="00270BA7"/>
    <w:rsid w:val="0027210D"/>
    <w:rsid w:val="00274426"/>
    <w:rsid w:val="0028414A"/>
    <w:rsid w:val="002874EC"/>
    <w:rsid w:val="00292AF6"/>
    <w:rsid w:val="00294237"/>
    <w:rsid w:val="00297DD8"/>
    <w:rsid w:val="002A24A6"/>
    <w:rsid w:val="002A52B6"/>
    <w:rsid w:val="002A7228"/>
    <w:rsid w:val="002B0D7A"/>
    <w:rsid w:val="002B0E74"/>
    <w:rsid w:val="002B3658"/>
    <w:rsid w:val="002B71CB"/>
    <w:rsid w:val="002B73FA"/>
    <w:rsid w:val="002C19AA"/>
    <w:rsid w:val="002C2EAC"/>
    <w:rsid w:val="002D2F08"/>
    <w:rsid w:val="002E4713"/>
    <w:rsid w:val="002F23CD"/>
    <w:rsid w:val="002F4B65"/>
    <w:rsid w:val="002F6C0D"/>
    <w:rsid w:val="002F7106"/>
    <w:rsid w:val="003061E9"/>
    <w:rsid w:val="00307EBF"/>
    <w:rsid w:val="00316393"/>
    <w:rsid w:val="003266F4"/>
    <w:rsid w:val="003304DF"/>
    <w:rsid w:val="003312C2"/>
    <w:rsid w:val="0035250A"/>
    <w:rsid w:val="003532BE"/>
    <w:rsid w:val="0035377A"/>
    <w:rsid w:val="0036059B"/>
    <w:rsid w:val="003621A5"/>
    <w:rsid w:val="003647DC"/>
    <w:rsid w:val="00366255"/>
    <w:rsid w:val="00370853"/>
    <w:rsid w:val="0037772F"/>
    <w:rsid w:val="00386C30"/>
    <w:rsid w:val="00390C3A"/>
    <w:rsid w:val="00390EB5"/>
    <w:rsid w:val="003B1F6B"/>
    <w:rsid w:val="003B3EE8"/>
    <w:rsid w:val="003B4E5D"/>
    <w:rsid w:val="003B710D"/>
    <w:rsid w:val="003D1187"/>
    <w:rsid w:val="003D2ABD"/>
    <w:rsid w:val="003D2E25"/>
    <w:rsid w:val="003D30AB"/>
    <w:rsid w:val="003D76C5"/>
    <w:rsid w:val="003F3938"/>
    <w:rsid w:val="00402328"/>
    <w:rsid w:val="00405E17"/>
    <w:rsid w:val="00406915"/>
    <w:rsid w:val="0041278E"/>
    <w:rsid w:val="00415B51"/>
    <w:rsid w:val="00417D6A"/>
    <w:rsid w:val="004221F5"/>
    <w:rsid w:val="00431730"/>
    <w:rsid w:val="00431B05"/>
    <w:rsid w:val="00433409"/>
    <w:rsid w:val="00434E1B"/>
    <w:rsid w:val="00437EAD"/>
    <w:rsid w:val="00440361"/>
    <w:rsid w:val="00440AD6"/>
    <w:rsid w:val="004477C8"/>
    <w:rsid w:val="00460413"/>
    <w:rsid w:val="00464517"/>
    <w:rsid w:val="00464845"/>
    <w:rsid w:val="00470509"/>
    <w:rsid w:val="0047538A"/>
    <w:rsid w:val="00481A20"/>
    <w:rsid w:val="004947E1"/>
    <w:rsid w:val="00494C06"/>
    <w:rsid w:val="0049513C"/>
    <w:rsid w:val="00495CAF"/>
    <w:rsid w:val="004A0C9C"/>
    <w:rsid w:val="004A3D10"/>
    <w:rsid w:val="004A5416"/>
    <w:rsid w:val="004A7382"/>
    <w:rsid w:val="004B0A8E"/>
    <w:rsid w:val="004B3928"/>
    <w:rsid w:val="004B3EFD"/>
    <w:rsid w:val="004B7211"/>
    <w:rsid w:val="004C53D4"/>
    <w:rsid w:val="004C67C9"/>
    <w:rsid w:val="004E2CA8"/>
    <w:rsid w:val="004E4CF8"/>
    <w:rsid w:val="004E5897"/>
    <w:rsid w:val="004E5C29"/>
    <w:rsid w:val="004E6B96"/>
    <w:rsid w:val="004F1D3B"/>
    <w:rsid w:val="004F534E"/>
    <w:rsid w:val="0050225C"/>
    <w:rsid w:val="00516BC0"/>
    <w:rsid w:val="0052236F"/>
    <w:rsid w:val="00535580"/>
    <w:rsid w:val="00535882"/>
    <w:rsid w:val="0054297E"/>
    <w:rsid w:val="005465EF"/>
    <w:rsid w:val="00547141"/>
    <w:rsid w:val="005503ED"/>
    <w:rsid w:val="005545F5"/>
    <w:rsid w:val="00562D5F"/>
    <w:rsid w:val="00565EB7"/>
    <w:rsid w:val="005667E8"/>
    <w:rsid w:val="005732DD"/>
    <w:rsid w:val="0057618B"/>
    <w:rsid w:val="00580FE4"/>
    <w:rsid w:val="0058353B"/>
    <w:rsid w:val="00586226"/>
    <w:rsid w:val="00587C8C"/>
    <w:rsid w:val="005953BF"/>
    <w:rsid w:val="0059560D"/>
    <w:rsid w:val="00596EA0"/>
    <w:rsid w:val="0059711E"/>
    <w:rsid w:val="00597A84"/>
    <w:rsid w:val="005A05D5"/>
    <w:rsid w:val="005A213F"/>
    <w:rsid w:val="005A5993"/>
    <w:rsid w:val="005A5C7A"/>
    <w:rsid w:val="005A7847"/>
    <w:rsid w:val="005C5B84"/>
    <w:rsid w:val="005C5C9B"/>
    <w:rsid w:val="005D1D3D"/>
    <w:rsid w:val="005D2C2C"/>
    <w:rsid w:val="005D6F38"/>
    <w:rsid w:val="005F1BD9"/>
    <w:rsid w:val="00602E32"/>
    <w:rsid w:val="006074E8"/>
    <w:rsid w:val="006145DC"/>
    <w:rsid w:val="0061794E"/>
    <w:rsid w:val="00617A7A"/>
    <w:rsid w:val="00623030"/>
    <w:rsid w:val="00634550"/>
    <w:rsid w:val="00644516"/>
    <w:rsid w:val="006455E1"/>
    <w:rsid w:val="006515D6"/>
    <w:rsid w:val="00651AE4"/>
    <w:rsid w:val="0065404F"/>
    <w:rsid w:val="00655D85"/>
    <w:rsid w:val="00657891"/>
    <w:rsid w:val="00660D95"/>
    <w:rsid w:val="00670E18"/>
    <w:rsid w:val="00677B0A"/>
    <w:rsid w:val="00683C70"/>
    <w:rsid w:val="00691396"/>
    <w:rsid w:val="006923F9"/>
    <w:rsid w:val="006951DB"/>
    <w:rsid w:val="006A0F8C"/>
    <w:rsid w:val="006A33BA"/>
    <w:rsid w:val="006A36AC"/>
    <w:rsid w:val="006A397A"/>
    <w:rsid w:val="006B0A43"/>
    <w:rsid w:val="006B100E"/>
    <w:rsid w:val="006B4252"/>
    <w:rsid w:val="006B53D4"/>
    <w:rsid w:val="006B5436"/>
    <w:rsid w:val="006B584D"/>
    <w:rsid w:val="006B6380"/>
    <w:rsid w:val="006C046B"/>
    <w:rsid w:val="006C25DD"/>
    <w:rsid w:val="006C3F19"/>
    <w:rsid w:val="006C51B2"/>
    <w:rsid w:val="006C7ECC"/>
    <w:rsid w:val="006D1CC7"/>
    <w:rsid w:val="006D537C"/>
    <w:rsid w:val="006D53D4"/>
    <w:rsid w:val="006D69AF"/>
    <w:rsid w:val="006E3D0B"/>
    <w:rsid w:val="006F2A4C"/>
    <w:rsid w:val="006F39D6"/>
    <w:rsid w:val="006F4F2E"/>
    <w:rsid w:val="006F5C41"/>
    <w:rsid w:val="006F7620"/>
    <w:rsid w:val="006F7794"/>
    <w:rsid w:val="00704306"/>
    <w:rsid w:val="00706906"/>
    <w:rsid w:val="0071368C"/>
    <w:rsid w:val="00721497"/>
    <w:rsid w:val="007308D7"/>
    <w:rsid w:val="007344E8"/>
    <w:rsid w:val="007421AC"/>
    <w:rsid w:val="0074232E"/>
    <w:rsid w:val="0075371E"/>
    <w:rsid w:val="00754CC7"/>
    <w:rsid w:val="0077091A"/>
    <w:rsid w:val="0078738D"/>
    <w:rsid w:val="007A3279"/>
    <w:rsid w:val="007A4DFF"/>
    <w:rsid w:val="007A5DA3"/>
    <w:rsid w:val="007A7AF0"/>
    <w:rsid w:val="007A7E0E"/>
    <w:rsid w:val="007B3E1F"/>
    <w:rsid w:val="007B5B7A"/>
    <w:rsid w:val="007C031A"/>
    <w:rsid w:val="007C3BF0"/>
    <w:rsid w:val="007C68DC"/>
    <w:rsid w:val="007D1199"/>
    <w:rsid w:val="007D2C86"/>
    <w:rsid w:val="007E10D2"/>
    <w:rsid w:val="007E1C50"/>
    <w:rsid w:val="007E6E3D"/>
    <w:rsid w:val="007F17D9"/>
    <w:rsid w:val="007F2560"/>
    <w:rsid w:val="007F50A7"/>
    <w:rsid w:val="007F788B"/>
    <w:rsid w:val="008168FF"/>
    <w:rsid w:val="0082161B"/>
    <w:rsid w:val="00824402"/>
    <w:rsid w:val="0084083B"/>
    <w:rsid w:val="00840E42"/>
    <w:rsid w:val="0084426D"/>
    <w:rsid w:val="008457EF"/>
    <w:rsid w:val="008474DE"/>
    <w:rsid w:val="0086350A"/>
    <w:rsid w:val="00864313"/>
    <w:rsid w:val="00864FDE"/>
    <w:rsid w:val="008652D5"/>
    <w:rsid w:val="0086610B"/>
    <w:rsid w:val="00871CE9"/>
    <w:rsid w:val="008774BF"/>
    <w:rsid w:val="00880305"/>
    <w:rsid w:val="00887E13"/>
    <w:rsid w:val="00890D4A"/>
    <w:rsid w:val="00892FB9"/>
    <w:rsid w:val="00895F3C"/>
    <w:rsid w:val="008960F5"/>
    <w:rsid w:val="00896C35"/>
    <w:rsid w:val="00897558"/>
    <w:rsid w:val="008A303D"/>
    <w:rsid w:val="008B5789"/>
    <w:rsid w:val="008C0954"/>
    <w:rsid w:val="008C0B68"/>
    <w:rsid w:val="008C1694"/>
    <w:rsid w:val="008C5465"/>
    <w:rsid w:val="008C5F29"/>
    <w:rsid w:val="008C7B53"/>
    <w:rsid w:val="008D1E97"/>
    <w:rsid w:val="008D31C0"/>
    <w:rsid w:val="008D5229"/>
    <w:rsid w:val="008D7E9D"/>
    <w:rsid w:val="008E105C"/>
    <w:rsid w:val="008F50C3"/>
    <w:rsid w:val="008F67F7"/>
    <w:rsid w:val="008F6F39"/>
    <w:rsid w:val="008F76DC"/>
    <w:rsid w:val="00901820"/>
    <w:rsid w:val="00904220"/>
    <w:rsid w:val="00910033"/>
    <w:rsid w:val="00911F0D"/>
    <w:rsid w:val="0092113B"/>
    <w:rsid w:val="009226AD"/>
    <w:rsid w:val="009264BD"/>
    <w:rsid w:val="009278EF"/>
    <w:rsid w:val="009335D9"/>
    <w:rsid w:val="00934295"/>
    <w:rsid w:val="00935CBB"/>
    <w:rsid w:val="0093659A"/>
    <w:rsid w:val="00936D46"/>
    <w:rsid w:val="00937FE9"/>
    <w:rsid w:val="009433FE"/>
    <w:rsid w:val="009457E2"/>
    <w:rsid w:val="009464B2"/>
    <w:rsid w:val="009502FC"/>
    <w:rsid w:val="009510DE"/>
    <w:rsid w:val="00954BF1"/>
    <w:rsid w:val="00957754"/>
    <w:rsid w:val="00961872"/>
    <w:rsid w:val="00965B1A"/>
    <w:rsid w:val="0097140C"/>
    <w:rsid w:val="00975B7E"/>
    <w:rsid w:val="00990584"/>
    <w:rsid w:val="00990C95"/>
    <w:rsid w:val="00996F2D"/>
    <w:rsid w:val="009A0346"/>
    <w:rsid w:val="009A1975"/>
    <w:rsid w:val="009A5372"/>
    <w:rsid w:val="009A688B"/>
    <w:rsid w:val="009B07C5"/>
    <w:rsid w:val="009B5475"/>
    <w:rsid w:val="009B7480"/>
    <w:rsid w:val="009C3D63"/>
    <w:rsid w:val="009C4105"/>
    <w:rsid w:val="009C4D74"/>
    <w:rsid w:val="009C5ADB"/>
    <w:rsid w:val="009C70F3"/>
    <w:rsid w:val="009C7DE7"/>
    <w:rsid w:val="009C7F11"/>
    <w:rsid w:val="009D1662"/>
    <w:rsid w:val="009E0C4E"/>
    <w:rsid w:val="009E2F2E"/>
    <w:rsid w:val="009E59E3"/>
    <w:rsid w:val="009F2670"/>
    <w:rsid w:val="00A04609"/>
    <w:rsid w:val="00A053D3"/>
    <w:rsid w:val="00A1302F"/>
    <w:rsid w:val="00A1388F"/>
    <w:rsid w:val="00A17F9D"/>
    <w:rsid w:val="00A2092D"/>
    <w:rsid w:val="00A22919"/>
    <w:rsid w:val="00A24401"/>
    <w:rsid w:val="00A32C0F"/>
    <w:rsid w:val="00A356A4"/>
    <w:rsid w:val="00A4496C"/>
    <w:rsid w:val="00A46112"/>
    <w:rsid w:val="00A46DAE"/>
    <w:rsid w:val="00A70A47"/>
    <w:rsid w:val="00A75D81"/>
    <w:rsid w:val="00A75F69"/>
    <w:rsid w:val="00A8269B"/>
    <w:rsid w:val="00A84B5E"/>
    <w:rsid w:val="00A86A4A"/>
    <w:rsid w:val="00A947E1"/>
    <w:rsid w:val="00AA1DBD"/>
    <w:rsid w:val="00AA5ACB"/>
    <w:rsid w:val="00AB07BB"/>
    <w:rsid w:val="00AB7646"/>
    <w:rsid w:val="00AC02D4"/>
    <w:rsid w:val="00AC1660"/>
    <w:rsid w:val="00AE03FC"/>
    <w:rsid w:val="00AE1C0B"/>
    <w:rsid w:val="00AF5D73"/>
    <w:rsid w:val="00AF6747"/>
    <w:rsid w:val="00B00076"/>
    <w:rsid w:val="00B006A0"/>
    <w:rsid w:val="00B00963"/>
    <w:rsid w:val="00B0678F"/>
    <w:rsid w:val="00B06DAE"/>
    <w:rsid w:val="00B07416"/>
    <w:rsid w:val="00B116DF"/>
    <w:rsid w:val="00B13497"/>
    <w:rsid w:val="00B1396C"/>
    <w:rsid w:val="00B1415C"/>
    <w:rsid w:val="00B14C47"/>
    <w:rsid w:val="00B15E28"/>
    <w:rsid w:val="00B161AC"/>
    <w:rsid w:val="00B16571"/>
    <w:rsid w:val="00B17C7C"/>
    <w:rsid w:val="00B22307"/>
    <w:rsid w:val="00B3041A"/>
    <w:rsid w:val="00B31306"/>
    <w:rsid w:val="00B31D64"/>
    <w:rsid w:val="00B33331"/>
    <w:rsid w:val="00B345CC"/>
    <w:rsid w:val="00B359A6"/>
    <w:rsid w:val="00B36CB3"/>
    <w:rsid w:val="00B41180"/>
    <w:rsid w:val="00B5064B"/>
    <w:rsid w:val="00B5255A"/>
    <w:rsid w:val="00B60F87"/>
    <w:rsid w:val="00B61D12"/>
    <w:rsid w:val="00B65A5B"/>
    <w:rsid w:val="00B701C3"/>
    <w:rsid w:val="00B766DB"/>
    <w:rsid w:val="00B77941"/>
    <w:rsid w:val="00B8580A"/>
    <w:rsid w:val="00B87083"/>
    <w:rsid w:val="00B93968"/>
    <w:rsid w:val="00BA30DF"/>
    <w:rsid w:val="00BA7E92"/>
    <w:rsid w:val="00BB2568"/>
    <w:rsid w:val="00BB29BF"/>
    <w:rsid w:val="00BB43BC"/>
    <w:rsid w:val="00BB51ED"/>
    <w:rsid w:val="00BC25CF"/>
    <w:rsid w:val="00BC5E74"/>
    <w:rsid w:val="00BD388B"/>
    <w:rsid w:val="00BE0388"/>
    <w:rsid w:val="00BE386F"/>
    <w:rsid w:val="00BE6F22"/>
    <w:rsid w:val="00BF0F9A"/>
    <w:rsid w:val="00BF6B6F"/>
    <w:rsid w:val="00C045B6"/>
    <w:rsid w:val="00C06AEA"/>
    <w:rsid w:val="00C07715"/>
    <w:rsid w:val="00C12B60"/>
    <w:rsid w:val="00C201E6"/>
    <w:rsid w:val="00C2102F"/>
    <w:rsid w:val="00C22A8B"/>
    <w:rsid w:val="00C24288"/>
    <w:rsid w:val="00C26225"/>
    <w:rsid w:val="00C27DB7"/>
    <w:rsid w:val="00C305E7"/>
    <w:rsid w:val="00C310D9"/>
    <w:rsid w:val="00C33564"/>
    <w:rsid w:val="00C374F9"/>
    <w:rsid w:val="00C37571"/>
    <w:rsid w:val="00C43479"/>
    <w:rsid w:val="00C465D5"/>
    <w:rsid w:val="00C51AEB"/>
    <w:rsid w:val="00C51E67"/>
    <w:rsid w:val="00C62161"/>
    <w:rsid w:val="00C65F7A"/>
    <w:rsid w:val="00C66260"/>
    <w:rsid w:val="00C66684"/>
    <w:rsid w:val="00C66B83"/>
    <w:rsid w:val="00C7104A"/>
    <w:rsid w:val="00C71894"/>
    <w:rsid w:val="00C72E74"/>
    <w:rsid w:val="00C733A3"/>
    <w:rsid w:val="00C74F80"/>
    <w:rsid w:val="00C83775"/>
    <w:rsid w:val="00C8599E"/>
    <w:rsid w:val="00C86234"/>
    <w:rsid w:val="00C949E5"/>
    <w:rsid w:val="00CA397B"/>
    <w:rsid w:val="00CC1794"/>
    <w:rsid w:val="00CC5176"/>
    <w:rsid w:val="00CC560B"/>
    <w:rsid w:val="00CC6340"/>
    <w:rsid w:val="00CC6590"/>
    <w:rsid w:val="00CD3CF6"/>
    <w:rsid w:val="00CD7CD0"/>
    <w:rsid w:val="00CE7918"/>
    <w:rsid w:val="00CF1459"/>
    <w:rsid w:val="00CF3726"/>
    <w:rsid w:val="00CF425F"/>
    <w:rsid w:val="00CF5AE7"/>
    <w:rsid w:val="00CF656E"/>
    <w:rsid w:val="00CF7ACF"/>
    <w:rsid w:val="00D01923"/>
    <w:rsid w:val="00D038AC"/>
    <w:rsid w:val="00D049CA"/>
    <w:rsid w:val="00D079B6"/>
    <w:rsid w:val="00D07CD5"/>
    <w:rsid w:val="00D120A2"/>
    <w:rsid w:val="00D14808"/>
    <w:rsid w:val="00D167BD"/>
    <w:rsid w:val="00D20365"/>
    <w:rsid w:val="00D2191A"/>
    <w:rsid w:val="00D31442"/>
    <w:rsid w:val="00D31A26"/>
    <w:rsid w:val="00D3330C"/>
    <w:rsid w:val="00D42CD1"/>
    <w:rsid w:val="00D529D9"/>
    <w:rsid w:val="00D561DF"/>
    <w:rsid w:val="00D577AC"/>
    <w:rsid w:val="00D61301"/>
    <w:rsid w:val="00D619AF"/>
    <w:rsid w:val="00D644BB"/>
    <w:rsid w:val="00D655C9"/>
    <w:rsid w:val="00D65A0C"/>
    <w:rsid w:val="00D6763A"/>
    <w:rsid w:val="00D7301C"/>
    <w:rsid w:val="00D73828"/>
    <w:rsid w:val="00D81631"/>
    <w:rsid w:val="00D8519E"/>
    <w:rsid w:val="00D93E2E"/>
    <w:rsid w:val="00D949B5"/>
    <w:rsid w:val="00D95A96"/>
    <w:rsid w:val="00D966D3"/>
    <w:rsid w:val="00DA1B04"/>
    <w:rsid w:val="00DA3296"/>
    <w:rsid w:val="00DA40A4"/>
    <w:rsid w:val="00DA6A94"/>
    <w:rsid w:val="00DA79D6"/>
    <w:rsid w:val="00DB1100"/>
    <w:rsid w:val="00DB34EF"/>
    <w:rsid w:val="00DC0657"/>
    <w:rsid w:val="00DD04EE"/>
    <w:rsid w:val="00DD39A2"/>
    <w:rsid w:val="00DD4827"/>
    <w:rsid w:val="00DE25E4"/>
    <w:rsid w:val="00DE59B1"/>
    <w:rsid w:val="00DF2C9A"/>
    <w:rsid w:val="00E0049F"/>
    <w:rsid w:val="00E024EA"/>
    <w:rsid w:val="00E10B8D"/>
    <w:rsid w:val="00E1221C"/>
    <w:rsid w:val="00E131CB"/>
    <w:rsid w:val="00E146DF"/>
    <w:rsid w:val="00E15D2F"/>
    <w:rsid w:val="00E23FFB"/>
    <w:rsid w:val="00E2696E"/>
    <w:rsid w:val="00E5104C"/>
    <w:rsid w:val="00E52B58"/>
    <w:rsid w:val="00E62A4B"/>
    <w:rsid w:val="00E6465B"/>
    <w:rsid w:val="00E65F19"/>
    <w:rsid w:val="00E674AF"/>
    <w:rsid w:val="00E72262"/>
    <w:rsid w:val="00E74F55"/>
    <w:rsid w:val="00E76134"/>
    <w:rsid w:val="00E9438C"/>
    <w:rsid w:val="00EA2885"/>
    <w:rsid w:val="00EA56D0"/>
    <w:rsid w:val="00EA6F82"/>
    <w:rsid w:val="00EB25F3"/>
    <w:rsid w:val="00EB2A29"/>
    <w:rsid w:val="00EB2CD1"/>
    <w:rsid w:val="00EB30D0"/>
    <w:rsid w:val="00ED6460"/>
    <w:rsid w:val="00EE0A80"/>
    <w:rsid w:val="00EE0AA6"/>
    <w:rsid w:val="00EE20AB"/>
    <w:rsid w:val="00EE364F"/>
    <w:rsid w:val="00EE45CB"/>
    <w:rsid w:val="00EF3ED0"/>
    <w:rsid w:val="00EF4124"/>
    <w:rsid w:val="00F02281"/>
    <w:rsid w:val="00F030B2"/>
    <w:rsid w:val="00F16917"/>
    <w:rsid w:val="00F224BA"/>
    <w:rsid w:val="00F260A2"/>
    <w:rsid w:val="00F30692"/>
    <w:rsid w:val="00F309BE"/>
    <w:rsid w:val="00F40DB4"/>
    <w:rsid w:val="00F42F40"/>
    <w:rsid w:val="00F43D8C"/>
    <w:rsid w:val="00F44E80"/>
    <w:rsid w:val="00F47D8E"/>
    <w:rsid w:val="00F54832"/>
    <w:rsid w:val="00F63ECC"/>
    <w:rsid w:val="00F64F6D"/>
    <w:rsid w:val="00F657D3"/>
    <w:rsid w:val="00F6724E"/>
    <w:rsid w:val="00F67DDD"/>
    <w:rsid w:val="00F71597"/>
    <w:rsid w:val="00F730AD"/>
    <w:rsid w:val="00F75F0C"/>
    <w:rsid w:val="00F7607C"/>
    <w:rsid w:val="00F762BE"/>
    <w:rsid w:val="00F77696"/>
    <w:rsid w:val="00F82A45"/>
    <w:rsid w:val="00F836E9"/>
    <w:rsid w:val="00F83B78"/>
    <w:rsid w:val="00F84BD4"/>
    <w:rsid w:val="00F86090"/>
    <w:rsid w:val="00F86E64"/>
    <w:rsid w:val="00F875E3"/>
    <w:rsid w:val="00FC0114"/>
    <w:rsid w:val="00FC2B09"/>
    <w:rsid w:val="00FC4630"/>
    <w:rsid w:val="00FD0928"/>
    <w:rsid w:val="00FD4545"/>
    <w:rsid w:val="00FD5563"/>
    <w:rsid w:val="00FD5572"/>
    <w:rsid w:val="00FD665F"/>
    <w:rsid w:val="00FF08F3"/>
    <w:rsid w:val="00FF50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49E"/>
  <w15:chartTrackingRefBased/>
  <w15:docId w15:val="{3219E5A5-6DBD-4699-8453-DA7FC693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2"/>
        <w:szCs w:val="22"/>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45"/>
    <w:rPr>
      <w:rFonts w:asciiTheme="minorHAnsi" w:hAnsiTheme="minorHAnsi" w:cstheme="minorBidi"/>
      <w:kern w:val="0"/>
      <w:sz w:val="24"/>
      <w:szCs w:val="24"/>
      <w14:ligatures w14:val="none"/>
    </w:rPr>
  </w:style>
  <w:style w:type="paragraph" w:styleId="Ttulo1">
    <w:name w:val="heading 1"/>
    <w:basedOn w:val="Normal"/>
    <w:link w:val="Ttulo1Car"/>
    <w:uiPriority w:val="9"/>
    <w:qFormat/>
    <w:rsid w:val="001D529D"/>
    <w:pPr>
      <w:spacing w:before="100" w:beforeAutospacing="1" w:after="100" w:afterAutospacing="1"/>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next w:val="Normal"/>
    <w:link w:val="Ttulo3Car"/>
    <w:uiPriority w:val="9"/>
    <w:semiHidden/>
    <w:unhideWhenUsed/>
    <w:qFormat/>
    <w:rsid w:val="001D529D"/>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4545"/>
    <w:pPr>
      <w:autoSpaceDE w:val="0"/>
      <w:autoSpaceDN w:val="0"/>
      <w:adjustRightInd w:val="0"/>
    </w:pPr>
    <w:rPr>
      <w:rFonts w:cs="Calibri"/>
      <w:color w:val="000000"/>
      <w:kern w:val="0"/>
      <w:sz w:val="24"/>
      <w:szCs w:val="24"/>
    </w:rPr>
  </w:style>
  <w:style w:type="paragraph" w:styleId="Prrafodelista">
    <w:name w:val="List Paragraph"/>
    <w:basedOn w:val="Normal"/>
    <w:uiPriority w:val="34"/>
    <w:qFormat/>
    <w:rsid w:val="00FD4545"/>
    <w:pPr>
      <w:ind w:left="720"/>
      <w:contextualSpacing/>
    </w:pPr>
  </w:style>
  <w:style w:type="paragraph" w:styleId="Encabezado">
    <w:name w:val="header"/>
    <w:basedOn w:val="Normal"/>
    <w:link w:val="EncabezadoCar"/>
    <w:uiPriority w:val="99"/>
    <w:unhideWhenUsed/>
    <w:rsid w:val="00F75F0C"/>
    <w:pPr>
      <w:tabs>
        <w:tab w:val="center" w:pos="4419"/>
        <w:tab w:val="right" w:pos="8838"/>
      </w:tabs>
    </w:pPr>
  </w:style>
  <w:style w:type="character" w:customStyle="1" w:styleId="EncabezadoCar">
    <w:name w:val="Encabezado Car"/>
    <w:basedOn w:val="Fuentedeprrafopredeter"/>
    <w:link w:val="Encabezado"/>
    <w:uiPriority w:val="99"/>
    <w:rsid w:val="00F75F0C"/>
    <w:rPr>
      <w:rFonts w:asciiTheme="minorHAnsi" w:hAnsiTheme="minorHAnsi" w:cstheme="minorBidi"/>
      <w:kern w:val="0"/>
      <w:sz w:val="24"/>
      <w:szCs w:val="24"/>
      <w14:ligatures w14:val="none"/>
    </w:rPr>
  </w:style>
  <w:style w:type="paragraph" w:styleId="Piedepgina">
    <w:name w:val="footer"/>
    <w:basedOn w:val="Normal"/>
    <w:link w:val="PiedepginaCar"/>
    <w:uiPriority w:val="99"/>
    <w:unhideWhenUsed/>
    <w:rsid w:val="00F75F0C"/>
    <w:pPr>
      <w:tabs>
        <w:tab w:val="center" w:pos="4419"/>
        <w:tab w:val="right" w:pos="8838"/>
      </w:tabs>
    </w:pPr>
  </w:style>
  <w:style w:type="character" w:customStyle="1" w:styleId="PiedepginaCar">
    <w:name w:val="Pie de página Car"/>
    <w:basedOn w:val="Fuentedeprrafopredeter"/>
    <w:link w:val="Piedepgina"/>
    <w:uiPriority w:val="99"/>
    <w:rsid w:val="00F75F0C"/>
    <w:rPr>
      <w:rFonts w:asciiTheme="minorHAnsi" w:hAnsiTheme="minorHAnsi" w:cstheme="minorBidi"/>
      <w:kern w:val="0"/>
      <w:sz w:val="24"/>
      <w:szCs w:val="24"/>
      <w14:ligatures w14:val="none"/>
    </w:rPr>
  </w:style>
  <w:style w:type="character" w:styleId="Refdecomentario">
    <w:name w:val="annotation reference"/>
    <w:basedOn w:val="Fuentedeprrafopredeter"/>
    <w:uiPriority w:val="99"/>
    <w:semiHidden/>
    <w:unhideWhenUsed/>
    <w:rsid w:val="00C37571"/>
    <w:rPr>
      <w:sz w:val="16"/>
      <w:szCs w:val="16"/>
    </w:rPr>
  </w:style>
  <w:style w:type="paragraph" w:styleId="Textocomentario">
    <w:name w:val="annotation text"/>
    <w:basedOn w:val="Normal"/>
    <w:link w:val="TextocomentarioCar"/>
    <w:uiPriority w:val="99"/>
    <w:unhideWhenUsed/>
    <w:rsid w:val="00C37571"/>
    <w:rPr>
      <w:sz w:val="20"/>
      <w:szCs w:val="20"/>
    </w:rPr>
  </w:style>
  <w:style w:type="character" w:customStyle="1" w:styleId="TextocomentarioCar">
    <w:name w:val="Texto comentario Car"/>
    <w:basedOn w:val="Fuentedeprrafopredeter"/>
    <w:link w:val="Textocomentario"/>
    <w:uiPriority w:val="99"/>
    <w:rsid w:val="00C37571"/>
    <w:rPr>
      <w:rFonts w:asciiTheme="minorHAnsi" w:hAnsiTheme="minorHAnsi" w:cstheme="minorBidi"/>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C37571"/>
    <w:rPr>
      <w:b/>
      <w:bCs/>
    </w:rPr>
  </w:style>
  <w:style w:type="character" w:customStyle="1" w:styleId="AsuntodelcomentarioCar">
    <w:name w:val="Asunto del comentario Car"/>
    <w:basedOn w:val="TextocomentarioCar"/>
    <w:link w:val="Asuntodelcomentario"/>
    <w:uiPriority w:val="99"/>
    <w:semiHidden/>
    <w:rsid w:val="00C37571"/>
    <w:rPr>
      <w:rFonts w:asciiTheme="minorHAnsi" w:hAnsiTheme="minorHAnsi" w:cstheme="minorBidi"/>
      <w:b/>
      <w:bCs/>
      <w:kern w:val="0"/>
      <w:sz w:val="20"/>
      <w:szCs w:val="20"/>
      <w14:ligatures w14:val="none"/>
    </w:rPr>
  </w:style>
  <w:style w:type="paragraph" w:styleId="Revisin">
    <w:name w:val="Revision"/>
    <w:hidden/>
    <w:uiPriority w:val="99"/>
    <w:semiHidden/>
    <w:rsid w:val="00270BA7"/>
    <w:rPr>
      <w:rFonts w:asciiTheme="minorHAnsi" w:hAnsiTheme="minorHAnsi" w:cstheme="minorBidi"/>
      <w:kern w:val="0"/>
      <w:sz w:val="24"/>
      <w:szCs w:val="24"/>
      <w14:ligatures w14:val="none"/>
    </w:rPr>
  </w:style>
  <w:style w:type="character" w:customStyle="1" w:styleId="Ttulo1Car">
    <w:name w:val="Título 1 Car"/>
    <w:basedOn w:val="Fuentedeprrafopredeter"/>
    <w:link w:val="Ttulo1"/>
    <w:uiPriority w:val="9"/>
    <w:rsid w:val="001D529D"/>
    <w:rPr>
      <w:rFonts w:ascii="Times New Roman" w:eastAsia="Times New Roman" w:hAnsi="Times New Roman" w:cs="Times New Roman"/>
      <w:b/>
      <w:bCs/>
      <w:kern w:val="36"/>
      <w:sz w:val="48"/>
      <w:szCs w:val="48"/>
      <w:lang w:eastAsia="es-CL"/>
      <w14:ligatures w14:val="none"/>
    </w:rPr>
  </w:style>
  <w:style w:type="character" w:customStyle="1" w:styleId="Ttulo3Car">
    <w:name w:val="Título 3 Car"/>
    <w:basedOn w:val="Fuentedeprrafopredeter"/>
    <w:link w:val="Ttulo3"/>
    <w:uiPriority w:val="9"/>
    <w:semiHidden/>
    <w:rsid w:val="001D529D"/>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rsid w:val="001D529D"/>
    <w:pPr>
      <w:spacing w:before="100" w:beforeAutospacing="1" w:after="100" w:afterAutospacing="1"/>
    </w:pPr>
    <w:rPr>
      <w:rFonts w:ascii="Times New Roman" w:eastAsia="Times New Roman" w:hAnsi="Times New Roman"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6092">
      <w:bodyDiv w:val="1"/>
      <w:marLeft w:val="0"/>
      <w:marRight w:val="0"/>
      <w:marTop w:val="0"/>
      <w:marBottom w:val="0"/>
      <w:divBdr>
        <w:top w:val="none" w:sz="0" w:space="0" w:color="auto"/>
        <w:left w:val="none" w:sz="0" w:space="0" w:color="auto"/>
        <w:bottom w:val="none" w:sz="0" w:space="0" w:color="auto"/>
        <w:right w:val="none" w:sz="0" w:space="0" w:color="auto"/>
      </w:divBdr>
    </w:div>
    <w:div w:id="199243428">
      <w:bodyDiv w:val="1"/>
      <w:marLeft w:val="0"/>
      <w:marRight w:val="0"/>
      <w:marTop w:val="0"/>
      <w:marBottom w:val="0"/>
      <w:divBdr>
        <w:top w:val="none" w:sz="0" w:space="0" w:color="auto"/>
        <w:left w:val="none" w:sz="0" w:space="0" w:color="auto"/>
        <w:bottom w:val="none" w:sz="0" w:space="0" w:color="auto"/>
        <w:right w:val="none" w:sz="0" w:space="0" w:color="auto"/>
      </w:divBdr>
    </w:div>
    <w:div w:id="251936880">
      <w:bodyDiv w:val="1"/>
      <w:marLeft w:val="0"/>
      <w:marRight w:val="0"/>
      <w:marTop w:val="0"/>
      <w:marBottom w:val="0"/>
      <w:divBdr>
        <w:top w:val="none" w:sz="0" w:space="0" w:color="auto"/>
        <w:left w:val="none" w:sz="0" w:space="0" w:color="auto"/>
        <w:bottom w:val="none" w:sz="0" w:space="0" w:color="auto"/>
        <w:right w:val="none" w:sz="0" w:space="0" w:color="auto"/>
      </w:divBdr>
    </w:div>
    <w:div w:id="399596859">
      <w:bodyDiv w:val="1"/>
      <w:marLeft w:val="0"/>
      <w:marRight w:val="0"/>
      <w:marTop w:val="0"/>
      <w:marBottom w:val="0"/>
      <w:divBdr>
        <w:top w:val="none" w:sz="0" w:space="0" w:color="auto"/>
        <w:left w:val="none" w:sz="0" w:space="0" w:color="auto"/>
        <w:bottom w:val="none" w:sz="0" w:space="0" w:color="auto"/>
        <w:right w:val="none" w:sz="0" w:space="0" w:color="auto"/>
      </w:divBdr>
    </w:div>
    <w:div w:id="497579881">
      <w:bodyDiv w:val="1"/>
      <w:marLeft w:val="0"/>
      <w:marRight w:val="0"/>
      <w:marTop w:val="0"/>
      <w:marBottom w:val="0"/>
      <w:divBdr>
        <w:top w:val="none" w:sz="0" w:space="0" w:color="auto"/>
        <w:left w:val="none" w:sz="0" w:space="0" w:color="auto"/>
        <w:bottom w:val="none" w:sz="0" w:space="0" w:color="auto"/>
        <w:right w:val="none" w:sz="0" w:space="0" w:color="auto"/>
      </w:divBdr>
    </w:div>
    <w:div w:id="599025351">
      <w:bodyDiv w:val="1"/>
      <w:marLeft w:val="0"/>
      <w:marRight w:val="0"/>
      <w:marTop w:val="0"/>
      <w:marBottom w:val="0"/>
      <w:divBdr>
        <w:top w:val="none" w:sz="0" w:space="0" w:color="auto"/>
        <w:left w:val="none" w:sz="0" w:space="0" w:color="auto"/>
        <w:bottom w:val="none" w:sz="0" w:space="0" w:color="auto"/>
        <w:right w:val="none" w:sz="0" w:space="0" w:color="auto"/>
      </w:divBdr>
    </w:div>
    <w:div w:id="1057584005">
      <w:bodyDiv w:val="1"/>
      <w:marLeft w:val="0"/>
      <w:marRight w:val="0"/>
      <w:marTop w:val="0"/>
      <w:marBottom w:val="0"/>
      <w:divBdr>
        <w:top w:val="none" w:sz="0" w:space="0" w:color="auto"/>
        <w:left w:val="none" w:sz="0" w:space="0" w:color="auto"/>
        <w:bottom w:val="none" w:sz="0" w:space="0" w:color="auto"/>
        <w:right w:val="none" w:sz="0" w:space="0" w:color="auto"/>
      </w:divBdr>
    </w:div>
    <w:div w:id="1269507478">
      <w:bodyDiv w:val="1"/>
      <w:marLeft w:val="0"/>
      <w:marRight w:val="0"/>
      <w:marTop w:val="0"/>
      <w:marBottom w:val="0"/>
      <w:divBdr>
        <w:top w:val="none" w:sz="0" w:space="0" w:color="auto"/>
        <w:left w:val="none" w:sz="0" w:space="0" w:color="auto"/>
        <w:bottom w:val="none" w:sz="0" w:space="0" w:color="auto"/>
        <w:right w:val="none" w:sz="0" w:space="0" w:color="auto"/>
      </w:divBdr>
    </w:div>
    <w:div w:id="1291474223">
      <w:bodyDiv w:val="1"/>
      <w:marLeft w:val="0"/>
      <w:marRight w:val="0"/>
      <w:marTop w:val="0"/>
      <w:marBottom w:val="0"/>
      <w:divBdr>
        <w:top w:val="none" w:sz="0" w:space="0" w:color="auto"/>
        <w:left w:val="none" w:sz="0" w:space="0" w:color="auto"/>
        <w:bottom w:val="none" w:sz="0" w:space="0" w:color="auto"/>
        <w:right w:val="none" w:sz="0" w:space="0" w:color="auto"/>
      </w:divBdr>
    </w:div>
    <w:div w:id="1304503782">
      <w:bodyDiv w:val="1"/>
      <w:marLeft w:val="0"/>
      <w:marRight w:val="0"/>
      <w:marTop w:val="0"/>
      <w:marBottom w:val="0"/>
      <w:divBdr>
        <w:top w:val="none" w:sz="0" w:space="0" w:color="auto"/>
        <w:left w:val="none" w:sz="0" w:space="0" w:color="auto"/>
        <w:bottom w:val="none" w:sz="0" w:space="0" w:color="auto"/>
        <w:right w:val="none" w:sz="0" w:space="0" w:color="auto"/>
      </w:divBdr>
    </w:div>
    <w:div w:id="1349134742">
      <w:bodyDiv w:val="1"/>
      <w:marLeft w:val="0"/>
      <w:marRight w:val="0"/>
      <w:marTop w:val="0"/>
      <w:marBottom w:val="0"/>
      <w:divBdr>
        <w:top w:val="none" w:sz="0" w:space="0" w:color="auto"/>
        <w:left w:val="none" w:sz="0" w:space="0" w:color="auto"/>
        <w:bottom w:val="none" w:sz="0" w:space="0" w:color="auto"/>
        <w:right w:val="none" w:sz="0" w:space="0" w:color="auto"/>
      </w:divBdr>
    </w:div>
    <w:div w:id="1452629277">
      <w:bodyDiv w:val="1"/>
      <w:marLeft w:val="0"/>
      <w:marRight w:val="0"/>
      <w:marTop w:val="0"/>
      <w:marBottom w:val="0"/>
      <w:divBdr>
        <w:top w:val="none" w:sz="0" w:space="0" w:color="auto"/>
        <w:left w:val="none" w:sz="0" w:space="0" w:color="auto"/>
        <w:bottom w:val="none" w:sz="0" w:space="0" w:color="auto"/>
        <w:right w:val="none" w:sz="0" w:space="0" w:color="auto"/>
      </w:divBdr>
    </w:div>
    <w:div w:id="1483892582">
      <w:bodyDiv w:val="1"/>
      <w:marLeft w:val="0"/>
      <w:marRight w:val="0"/>
      <w:marTop w:val="0"/>
      <w:marBottom w:val="0"/>
      <w:divBdr>
        <w:top w:val="none" w:sz="0" w:space="0" w:color="auto"/>
        <w:left w:val="none" w:sz="0" w:space="0" w:color="auto"/>
        <w:bottom w:val="none" w:sz="0" w:space="0" w:color="auto"/>
        <w:right w:val="none" w:sz="0" w:space="0" w:color="auto"/>
      </w:divBdr>
    </w:div>
    <w:div w:id="1590582128">
      <w:bodyDiv w:val="1"/>
      <w:marLeft w:val="0"/>
      <w:marRight w:val="0"/>
      <w:marTop w:val="0"/>
      <w:marBottom w:val="0"/>
      <w:divBdr>
        <w:top w:val="none" w:sz="0" w:space="0" w:color="auto"/>
        <w:left w:val="none" w:sz="0" w:space="0" w:color="auto"/>
        <w:bottom w:val="none" w:sz="0" w:space="0" w:color="auto"/>
        <w:right w:val="none" w:sz="0" w:space="0" w:color="auto"/>
      </w:divBdr>
    </w:div>
    <w:div w:id="1748116447">
      <w:bodyDiv w:val="1"/>
      <w:marLeft w:val="0"/>
      <w:marRight w:val="0"/>
      <w:marTop w:val="0"/>
      <w:marBottom w:val="0"/>
      <w:divBdr>
        <w:top w:val="none" w:sz="0" w:space="0" w:color="auto"/>
        <w:left w:val="none" w:sz="0" w:space="0" w:color="auto"/>
        <w:bottom w:val="none" w:sz="0" w:space="0" w:color="auto"/>
        <w:right w:val="none" w:sz="0" w:space="0" w:color="auto"/>
      </w:divBdr>
    </w:div>
    <w:div w:id="18468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DFEF-94E3-420A-BC15-ED983660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Espinoza</dc:creator>
  <cp:keywords/>
  <dc:description/>
  <cp:lastModifiedBy>Constanza Vargas</cp:lastModifiedBy>
  <cp:revision>2</cp:revision>
  <dcterms:created xsi:type="dcterms:W3CDTF">2023-10-18T14:32:00Z</dcterms:created>
  <dcterms:modified xsi:type="dcterms:W3CDTF">2023-10-18T14:32:00Z</dcterms:modified>
</cp:coreProperties>
</file>